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construction 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Fruitet, Louis/ </w:t>
            </w:r>
          </w:p>
        </w:tc>
      </w:tr>
      <w:tr>
        <w:trPr>
          <w:trHeight w:val="567"/>
        </w:trPr>
        <w:tc>
          <w:tcPr>
            <w:tcW w:type="dxa" w:w="3000"/>
          </w:tcPr>
          <w:p>
            <w:r>
              <w:t>Adresse bib.</w:t>
            </w:r>
          </w:p>
        </w:tc>
        <w:tc>
          <w:tcPr>
            <w:tcW w:type="dxa" w:w="7000"/>
          </w:tcPr>
          <w:p>
            <w:r>
              <w:t xml:space="preserve">Dunod/ EAPV/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2040118225</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acier de construction/ Stabilité des structures/ </w:t>
            </w:r>
          </w:p>
        </w:tc>
      </w:tr>
    </w:tbl>
    <w:p>
      <w:pPr>
        <w:pStyle w:val="Heading3"/>
      </w:pPr>
      <w:r>
        <w:t>Résumé :</w:t>
      </w:r>
    </w:p>
    <w:p>
      <w:r>
        <w:t>Le cours de construction métallique de Louis Fruitet traite des principes fondamentaux de la conception, du calcul et de la réalisation des structures en acier. Il s’adresse principalement aux étudiants en génie civil et aux ingénieurs souhaitant maîtriser les techniques de dimensionnement et d’exécution des ouvrages métalliques.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