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sédimentologie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Vatan, André/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XXIII-397 p.</w:t>
            </w:r>
          </w:p>
        </w:tc>
      </w:tr>
      <w:tr>
        <w:trPr>
          <w:trHeight w:val="567"/>
        </w:trPr>
        <w:tc>
          <w:tcPr>
            <w:tcW w:type="dxa" w:w="3000"/>
          </w:tcPr>
          <w:p>
            <w:r>
              <w:t>Illustration</w:t>
            </w:r>
          </w:p>
        </w:tc>
        <w:tc>
          <w:tcPr>
            <w:tcW w:type="dxa" w:w="7000"/>
          </w:tcPr>
          <w:p>
            <w:r>
              <w:t>ill., graph., tabl., cartes,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271080073X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Sédimentologie/ </w:t>
            </w:r>
          </w:p>
        </w:tc>
      </w:tr>
    </w:tbl>
    <w:p>
      <w:pPr>
        <w:pStyle w:val="Heading3"/>
      </w:pPr>
      <w:r>
        <w:t>Résumé :</w:t>
      </w:r>
    </w:p>
    <w:p>
      <w:r>
        <w:t>Le livre explique la formation des sédiments et des roches sédimentaires, les milieux où ils se déposent, et leur transformation, ainsi que leur importance pour les ressources naturelles comme le pétrole et le charbon.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