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Altération des calcaires et des grès utilisés dans la construction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Iñiguez Herrero, Jaime/ Stichelbaudt, J./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altération/ construction/ </w:t>
            </w:r>
          </w:p>
        </w:tc>
      </w:tr>
    </w:tbl>
    <w:p>
      <w:pPr>
        <w:pStyle w:val="Heading3"/>
      </w:pPr>
      <w:r>
        <w:t>Résumé :</w:t>
      </w:r>
    </w:p>
    <w:p>
      <w:r>
        <w:t>L’ouvrage Altération des calcaires et des grès utilisés dans la construction de Jaime Iñiguez Herrero analyse les mécanismes de dégradation des pierres couramment utilisées dans les monuments et bâtiments. L’auteur montre que l’altération résulte de l’action combinée de facteurs physiques (variations thermiques, gel/dégel), chimiques (dissolution des minéraux) et surtout de la présence de sels solubles, qui cristallisent dans les pores et provoquent des contraintes internes entraînant la désagrégation de la pierre. À travers des analyses expérimentales menées sur des échantillons provenant de monuments, il met en évidence que la porosité joue un rôle essentiel en facilitant la circulation de l’eau et l’accumulation des sels, ce qui accélère la dégradation. L’étude souligne également que les calcaires sont généralement plus sensibles à l’altération que les grès, en raison de leur composition et de leur structure. Ainsi, l’auteur conclut que la compréhension des propriétés physiques et chimiques des matériaux est indispensable pour mieux préserver le patrimoine architectural et orienter les interventions de conservation.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