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Conduire son chantier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Couffignal, Daniel/ </w:t>
            </w:r>
          </w:p>
        </w:tc>
      </w:tr>
      <w:tr>
        <w:trPr>
          <w:trHeight w:val="567"/>
        </w:trPr>
        <w:tc>
          <w:tcPr>
            <w:tcW w:type="dxa" w:w="3000"/>
          </w:tcPr>
          <w:p>
            <w:r>
              <w:t>Edition</w:t>
            </w:r>
          </w:p>
        </w:tc>
        <w:tc>
          <w:tcPr>
            <w:tcW w:type="dxa" w:w="7000"/>
          </w:tcPr>
          <w:p>
            <w:r>
              <w:t>9e éd.</w:t>
            </w:r>
          </w:p>
        </w:tc>
      </w:tr>
      <w:tr>
        <w:trPr>
          <w:trHeight w:val="567"/>
        </w:trPr>
        <w:tc>
          <w:tcPr>
            <w:tcW w:type="dxa" w:w="3000"/>
          </w:tcPr>
          <w:p>
            <w:r>
              <w:t>Adresse bib.</w:t>
            </w:r>
          </w:p>
        </w:tc>
        <w:tc>
          <w:tcPr>
            <w:tcW w:type="dxa" w:w="7000"/>
          </w:tcPr>
          <w:p>
            <w:r>
              <w:t xml:space="preserve">Éd. le Moniteur/ </w:t>
            </w:r>
          </w:p>
        </w:tc>
      </w:tr>
      <w:tr>
        <w:trPr>
          <w:trHeight w:val="567"/>
        </w:trPr>
        <w:tc>
          <w:tcPr>
            <w:tcW w:type="dxa" w:w="3000"/>
          </w:tcPr>
          <w:p>
            <w:r>
              <w:t>Nombre de Pages</w:t>
            </w:r>
          </w:p>
        </w:tc>
        <w:tc>
          <w:tcPr>
            <w:tcW w:type="dxa" w:w="7000"/>
          </w:tcPr>
          <w:p>
            <w:r>
              <w:t>297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Méthodes(N°:None)</w:t>
            </w:r>
          </w:p>
        </w:tc>
      </w:tr>
      <w:tr>
        <w:trPr>
          <w:trHeight w:val="567"/>
        </w:trPr>
        <w:tc>
          <w:tcPr>
            <w:tcW w:type="dxa" w:w="3000"/>
          </w:tcPr>
          <w:p>
            <w:r>
              <w:t>Notes Générales</w:t>
            </w:r>
          </w:p>
        </w:tc>
        <w:tc>
          <w:tcPr>
            <w:tcW w:type="dxa" w:w="7000"/>
          </w:tcPr>
          <w:p>
            <w:r>
              <w:t>Bibliogr. Index p.p. 281-288</w:t>
            </w:r>
          </w:p>
        </w:tc>
      </w:tr>
      <w:tr>
        <w:trPr>
          <w:trHeight w:val="567"/>
        </w:trPr>
        <w:tc>
          <w:tcPr>
            <w:tcW w:type="dxa" w:w="3000"/>
          </w:tcPr>
          <w:p>
            <w:r>
              <w:t>Numéro d'Identification</w:t>
            </w:r>
          </w:p>
        </w:tc>
        <w:tc>
          <w:tcPr>
            <w:tcW w:type="dxa" w:w="7000"/>
          </w:tcPr>
          <w:p>
            <w:r>
              <w:t>9782281114553</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dossier de consultation/ cahier de charge/ </w:t>
            </w:r>
          </w:p>
        </w:tc>
      </w:tr>
    </w:tbl>
    <w:p>
      <w:pPr>
        <w:pStyle w:val="Heading3"/>
      </w:pPr>
      <w:r>
        <w:t>Résumé :</w:t>
      </w:r>
    </w:p>
    <w:p>
      <w:r>
        <w:t>La conduite de chantier relève d'une méthode qui prend en compte les questions techniques, les procédures administratives et financières mais aussi la personnalité des différents intervenants. Chaque phase de la vie d'un chantier est analysée : mise au point du dossier marché de travaux, préparation, organisation, coordination technique, exécution des travaux, réception des travaux, achèvement du chantier. Cette nouvelle édition tient compte du code des marchés publics modifié par les décrets de décembre 2009, le CCAG travaux 2009 (Cahiers des clauses administratives générales), les nouvelles règles d'urbanisme opérationnel, les nouvelles dispositions relatives aux montages globaux et l'apport des AMO (Assistances à maîtrise d'ouvrage).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