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phosphatation sur aluminium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ctim/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Performances(N°:None)</w:t>
            </w:r>
          </w:p>
        </w:tc>
      </w:tr>
      <w:tr>
        <w:trPr>
          <w:trHeight w:val="567"/>
        </w:trPr>
        <w:tc>
          <w:tcPr>
            <w:tcW w:type="dxa" w:w="3000"/>
          </w:tcPr>
          <w:p>
            <w:r>
              <w:t>Numéro d'Identification</w:t>
            </w:r>
          </w:p>
        </w:tc>
        <w:tc>
          <w:tcPr>
            <w:tcW w:type="dxa" w:w="7000"/>
          </w:tcPr>
          <w:p>
            <w:r>
              <w:t>2854008065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conversion chimique/ dégraissage/ </w:t>
            </w:r>
          </w:p>
        </w:tc>
      </w:tr>
    </w:tbl>
    <w:p>
      <w:pPr>
        <w:pStyle w:val="Heading3"/>
      </w:pPr>
      <w:r>
        <w:t>Résumé :</w:t>
      </w:r>
    </w:p>
    <w:p>
      <w:r>
        <w:t>Cet ouvrage rappelle le principe de la phosphatation et les différences d'emploi selon les deux matériaux. Il recense les différents contrôles à effectuer tout au long du pocessus, sur les bains et sur les produits finis , les éléments importants à connaître afin d'éviter les défaillances des peintures sur aluminium, pour une bonne phosphatation et pour les gammes-types de traitement. Un tour des procédés utilisés chez les industriels du mobilier métallique ainsi qu'un examen de produits de traitement de surfaces effectué auprès des fournisseurs renforce ces informations. La seconde partie de l'étude a eu pour but de tester différents types de traitements de surfaces adaptés aux procédés et aux équipements actuels de l'industrie du mobilier métallique, et de mettre en évidence les meilleures gammes en fonction d'exigences définies. Pour cela, nous avons élaboré un cahier des charges définissant les exigences souhaitées et les paramètres et réalisé une matrice d'essai. Les échantillons ont été traités et caractérisés, et les résultats obtenus ont été analysés.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