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Surveillance des pentes instables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Laboratoire Central des Ponts et Chaussées/ </w:t>
            </w:r>
          </w:p>
        </w:tc>
      </w:tr>
      <w:tr>
        <w:trPr>
          <w:trHeight w:val="567"/>
        </w:trPr>
        <w:tc>
          <w:tcPr>
            <w:tcW w:type="dxa" w:w="3000"/>
          </w:tcPr>
          <w:p>
            <w:r>
              <w:t>Adresse bib.</w:t>
            </w:r>
          </w:p>
        </w:tc>
        <w:tc>
          <w:tcPr>
            <w:tcW w:type="dxa" w:w="7000"/>
          </w:tcPr>
          <w:p>
            <w:r>
              <w:t xml:space="preserve">LCPC/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Techniques et méthodes des Laboratoires des ponts et chaussées.(N°:None)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2720835803</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pente instable/ glissement de terrain/ </w:t>
            </w:r>
          </w:p>
        </w:tc>
      </w:tr>
    </w:tbl>
    <w:p>
      <w:pPr>
        <w:pStyle w:val="Heading3"/>
      </w:pPr>
      <w:r>
        <w:t>Résumé :</w:t>
      </w:r>
    </w:p>
    <w:p>
      <w:r>
        <w:t>Le guide technique s'adresse aux ingénieurs de bureaux d'étude et aux gestionnaire d'ouvrages qui ont choisi de mettre en place une surveillance de versant ou de talus présentant un risque de glissement, d'éboulement ou de coulée boueuse.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