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tours aéroréfrigérantes, TAR, pour les industries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Performances(N°:None)</w:t>
            </w:r>
          </w:p>
        </w:tc>
      </w:tr>
      <w:tr>
        <w:trPr>
          <w:trHeight w:val="567"/>
        </w:trPr>
        <w:tc>
          <w:tcPr>
            <w:tcW w:type="dxa" w:w="3000"/>
          </w:tcPr>
          <w:p>
            <w:r>
              <w:t>Numéro d'Identification</w:t>
            </w:r>
          </w:p>
        </w:tc>
        <w:tc>
          <w:tcPr>
            <w:tcW w:type="dxa" w:w="7000"/>
          </w:tcPr>
          <w:p>
            <w:r>
              <w:t>2854008049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bl>
    <w:p>
      <w:pPr>
        <w:pStyle w:val="Heading3"/>
      </w:pPr>
      <w:r>
        <w:t>Résumé :</w:t>
      </w:r>
    </w:p>
    <w:p>
      <w:r>
        <w:t>Ce guide, rédigé par le Centre technique des industries aérauliques et thermiques (Cetiat) a pour but d'assister l'industriel dans le choix d'une installation de refroidissement pour un projet neuf ou de rénovation. Son contenu s'inspire du guide technique "Les différents procédés de refroidissement d'eau dans les installations industrielles et tertiaires" élaboré par le Cetiat à la demande du ministère de l'Ecologie et de développement durable en février 2005. Cet ouvrage définit les besoins en refroidissement , expose les diverses solutions utilisables dans l'industrie mécanique étayées par des situations réelles observées dans quatre entreprises , compare l'efficacité des différentes techniques , permet à l'industriel d'effectuer un comparatif afin d'apprécier ses marges de progrès. En conclusion, les règles de bonne conduite d'une installation de type TAR sont rappelées.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