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Applicabilité du filtre à particules aux moteurs diesel industriels et marins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9782854008500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atmosphérique/ monolithe/ </w:t>
            </w:r>
          </w:p>
        </w:tc>
      </w:tr>
    </w:tbl>
    <w:p>
      <w:pPr>
        <w:pStyle w:val="Heading3"/>
      </w:pPr>
      <w:r>
        <w:t>Résumé :</w:t>
      </w:r>
    </w:p>
    <w:p>
      <w:r>
        <w:t>Ce document est surtout un guide technique d’aide à la décision qui :</w:t>
        <w:br/>
        <w:br/>
        <w:br/>
        <w:br/>
        <w:t>explique les technologies FAP</w:t>
        <w:br/>
        <w:br/>
        <w:t>analyse leurs limites</w:t>
        <w:br/>
        <w:br/>
        <w:t>propose des solutions concrètes selon les applications industrielles et marines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