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ferrallitiques et leur répartition géographique.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Ségalen, Pierre/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en coul. couv.ill.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2709912228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Sols ferrallitiques/ </w:t>
            </w:r>
          </w:p>
        </w:tc>
      </w:tr>
    </w:tbl>
    <w:p>
      <w:pPr>
        <w:pStyle w:val="Heading3"/>
      </w:pPr>
      <w:r>
        <w:t>Résumé :</w:t>
      </w:r>
    </w:p>
    <w:p>
      <w:r>
        <w:t>Le tome 2 débute par l'examen des facteurs de formation des sols ferrallitiques. Alors que, dans le volume précédent, on a passé en revue les caractéristiques de toutes natures de ces sols, on examine maintenant les causes auxquelles sont attribuées ces caractéristiques. Les roches-mères sont avant tout des roches dites granito-gneissiques, c'est-à-dire l'ensemble des roches métamorphiques et des roches éruptives, surtout granitiques, qui leur sont associées. Elles sont avant tout constituées de feldspaths potassiques et de quartz dont l'altération fournit l'aluminium et le silicium nécessaires à la formation des minéraux argileux kandiques. D'autres roches comme les roches volcaniques basiques, contenant des feldspaths calco-sodiques plus facilement altérables, sont également présentes. Des roches sédimentaires, continentales ou marines, occupent quelqu'espace, de même que des matériaux détritiques produits par la destruction du relief et des sols antérieurs.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