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Climats et sociétés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Lamarre, Denis/ Pagney,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cartes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 géographie(N°:None)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255-262.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2200016484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climatologie/ </w:t>
            </w:r>
          </w:p>
        </w:tc>
      </w:tr>
    </w:tbl>
    <w:p>
      <w:pPr>
        <w:pStyle w:val="Heading3"/>
      </w:pPr>
      <w:r>
        <w:t>Résumé :</w:t>
      </w:r>
    </w:p>
    <w:p>
      <w:r>
        <w:t>L'ouvrage met l'accent sur certains éléments qui interagissent pour former le complexe climatique ou social et interviennent de manière plus soutenue. Ainsi le manque d'eau contraint les hommes à se concentrer là où d'autres ressources en eau sont accessibles ; de même que le vent, les conditions thermiques pèsent sur les comportements humains et les déplacements. Il insiste surtout sur les aspects spatiaux ou territoriaux d'échelle moyenne : l'essentiel des faits ne se situe pas en effet à l'échelle locale ou à celle du système climatique planétaire, mais aux niveaux des " méso-échelles ". Il bat ainsi en brèche la tendance qui réduit la place et le rôle des faits physiques dans le complexe géographique. L'homme ne disposerait-t-il pas désormais des moyens de se libérer de l'environnement naturel ? Mais en même temps l'usage massif des énergies fossiles conduit au trouble chimique de l'atmosphère, du niveau local (pollution) au niveau planétaire (gaz à effet de serre) ; l'eau est usée inconsidérément. Ce sont bien des situations auxquelles les société humaines n'étaient pas confrontées avant le XXe siècle.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