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Climats et sociétés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Lamarre, Denis/ Pagney,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cartes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255-262.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2200016484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met l'accent sur certains éléments qui interagissent pour former le complexe climatique ou social et interviennent de manière plus soutenue. Ainsi le manque d'eau contraint les hommes à se concentrer là où d'autres ressources en eau sont accessibles ; de même que le vent, les conditions thermiques pèsent sur les comportements humains et les déplacements. Il insiste surtout sur les aspects spatiaux ou territoriaux d'échelle moyenne : l'essentiel des faits ne se situe pas en effet à l'échelle locale ou à celle du système climatique planétaire, mais aux niveaux des " méso-échelles ". Il bat ainsi en brèche la tendance qui réduit la place et le rôle des faits physiques dans le complexe géographique. L'homme ne disposerait-t-il pas désormais des moyens de se libérer de l'environnement naturel ? Mais en même temps l'usage massif des énergies fossiles conduit au trouble chimique de l'atmosphère, du niveau local (pollution) au niveau planétaire (gaz à effet de serre) ; l'eau est usée inconsidérément. Ce sont bien des situations auxquelles les société humaines n'étaient pas confrontées avant le XXe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