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premier principe des propriétés physiques d’alliages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Ouchene, Bochra/ Drablia, Samia/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FP-LAPW/ ScxLu1-xN/ semi-conducteurs/ </w:t>
            </w:r>
          </w:p>
        </w:tc>
      </w:tr>
    </w:tbl>
    <w:p>
      <w:pPr>
        <w:pStyle w:val="Heading3"/>
      </w:pPr>
      <w:r>
        <w:t>Résumé :</w:t>
      </w:r>
    </w:p>
    <w:p>
      <w:r>
        <w:t>Cette étude porte sur les propriétés structurales, élastiques, électroniques, optiques et thermoélectriques des alliages semi-conducteurs ScxLu1-xN et YxLu1-xN, ainsi que leurs composés binaires LuN, ScN et YN, dans le cadre de la théorie de la fonctionnelle de la densité appliquée via la méthode FP-LAPW. L’étude explore systématiquement l’ensemble de la gamme de compositions (x = 0, 0,25, 0,5, 0,75, 1), démontrant que les paramètres de réseau des deux systèmes suivent la loi de Vegard avec une dépendance linéaire à la</w:t>
        <w:br/>
        <w:br/>
        <w:t>composition, validant ainsi l’approche computationnelle. L’analyse des propriétés élastiques confirme la stabilité mécanique sur toutes les compositions, avec des coefficients de Poisson et des rapports de Pugh indiquant un comportement fragile. Malgré une faible anisotropie élastique, suggérée par le facteur de Zener et l’analyse tridimensionnelle des modules, les alliages présentent une performance mécanique robuste sous contraintes multidirectionnelles. Les calculs de structure électronique via le potentiel modifié de Becke-Johnson (mBJ) révèlent un gap direct (Γ → Γ) pour les compositions intermédiaires, contrastant avec les gaps indirects (Γ–X) des composés binaires parents. La variation non linéaire du gap en fonction de la composition soutient la conception de dispositifs optoélectroniques sur mesure. Les propriétés optiques, notamment les spectres d’absorption, confirment ces résultats, positionnant ces alliages comme des candidats prometteurs pour les technologies photoniques et optoélectroniques ultraviolettes. Les</w:t>
        <w:br/>
        <w:br/>
        <w:t>propriétés thermoélectriques évaluées à l’aide du code BoltzTraP identifient les compositions optimales à x=0,75 pour ScxLu1-xN et x=1 pour YxLu1-xN, soulignant le rôle clé de la composition dans l’amélioration de l’efficacité thermoélectrique. Globalement, ce travail comble des lacunes expérimentales majeures et fournit des paramètres de référence critiques pour ces systèmes d’alliage, soutenant leur intégration potentielle dans les dispositifs optoélectroniques de nouvelle génération exigeant des propriétés électroniques et mécaniques ajustées pour une performance et une fiabilité accrues.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