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Temps-climat et maladies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Mahi, Tabet-Aoul/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Benmerabet/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9789931320418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 et maladies/ Temps et climat/ </w:t>
            </w:r>
          </w:p>
        </w:tc>
      </w:tr>
    </w:tbl>
    <w:p>
      <w:pPr>
        <w:pStyle w:val="Heading3"/>
      </w:pPr>
      <w:r>
        <w:t>Résumé :</w:t>
      </w:r>
    </w:p>
    <w:p>
      <w:r>
        <w:t>souligne l'urgence climatique et ses impacts directs sur la santé, notamment l'augmentation des maladies infectieuses et vectorielles. Le changement climatique en Algérie, caractérisé par des étés chauds (zones E3-E5), favorise la prolifération de vecteurs (moustiques) et le risque de maladies.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