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dynamique du temps et du climat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Leroux, Marcel/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341-362. Index</w:t>
            </w:r>
          </w:p>
        </w:tc>
      </w:tr>
      <w:tr>
        <w:trPr>
          <w:trHeight w:val="567"/>
        </w:trPr>
        <w:tc>
          <w:tcPr>
            <w:tcW w:type="dxa" w:w="3000"/>
          </w:tcPr>
          <w:p>
            <w:r>
              <w:t>Numéro d'Identification</w:t>
            </w:r>
          </w:p>
        </w:tc>
        <w:tc>
          <w:tcPr>
            <w:tcW w:type="dxa" w:w="7000"/>
          </w:tcPr>
          <w:p>
            <w:r>
              <w:t>2100048074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Changements climatiques/ </w:t>
            </w:r>
          </w:p>
        </w:tc>
      </w:tr>
    </w:tbl>
    <w:p>
      <w:pPr>
        <w:pStyle w:val="Heading3"/>
      </w:pPr>
      <w:r>
        <w:t>Résumé :</w:t>
      </w:r>
    </w:p>
    <w:p>
      <w:r>
        <w:t>Cet ouvrage s'adresse aux étudiants se spécialisant en météorologie, climatologie, océanographie, paléoclimatologie, géophysique externe, géographie physique, risques et catastrophes naturelles, environnement... Il intéressera également tout lecteur curieux des phénomènes météorologiques et de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