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Guide de conception des installations de climatisation et de conditionnement de l'air, tertiaire et industrie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Association des ingénieurs en climatique, ventilation et froid (France)/ </w:t>
            </w:r>
          </w:p>
        </w:tc>
      </w:tr>
      <w:tr>
        <w:trPr>
          <w:trHeight w:val="567"/>
        </w:trPr>
        <w:tc>
          <w:tcPr>
            <w:tcW w:type="dxa" w:w="3000"/>
          </w:tcPr>
          <w:p>
            <w:r>
              <w:t>Adresse bib.</w:t>
            </w:r>
          </w:p>
        </w:tc>
        <w:tc>
          <w:tcPr>
            <w:tcW w:type="dxa" w:w="7000"/>
          </w:tcPr>
          <w:p>
            <w:r>
              <w:t xml:space="preserve">éd. Pyc livres/ </w:t>
            </w:r>
          </w:p>
        </w:tc>
      </w:tr>
      <w:tr>
        <w:trPr>
          <w:trHeight w:val="567"/>
        </w:trPr>
        <w:tc>
          <w:tcPr>
            <w:tcW w:type="dxa" w:w="3000"/>
          </w:tcPr>
          <w:p>
            <w:r>
              <w:t>Nombre de Pages</w:t>
            </w:r>
          </w:p>
        </w:tc>
        <w:tc>
          <w:tcPr>
            <w:tcW w:type="dxa" w:w="7000"/>
          </w:tcPr>
          <w:p>
            <w:r>
              <w:t>379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31 cm</w:t>
            </w:r>
          </w:p>
        </w:tc>
      </w:tr>
      <w:tr>
        <w:trPr>
          <w:trHeight w:val="567"/>
        </w:trPr>
        <w:tc>
          <w:tcPr>
            <w:tcW w:type="dxa" w:w="3000"/>
          </w:tcPr>
          <w:p>
            <w:r>
              <w:t>Collection</w:t>
            </w:r>
          </w:p>
        </w:tc>
        <w:tc>
          <w:tcPr>
            <w:tcW w:type="dxa" w:w="7000"/>
          </w:tcPr>
          <w:p>
            <w:r>
              <w:t>Collection des guides thématiques de l'AICVF(N°:None)</w:t>
            </w:r>
          </w:p>
        </w:tc>
      </w:tr>
      <w:tr>
        <w:trPr>
          <w:trHeight w:val="567"/>
        </w:trPr>
        <w:tc>
          <w:tcPr>
            <w:tcW w:type="dxa" w:w="3000"/>
          </w:tcPr>
          <w:p>
            <w:r>
              <w:t>Numéro d'Identification</w:t>
            </w:r>
          </w:p>
        </w:tc>
        <w:tc>
          <w:tcPr>
            <w:tcW w:type="dxa" w:w="7000"/>
          </w:tcPr>
          <w:p>
            <w:r>
              <w:t>291100294</w:t>
            </w:r>
          </w:p>
        </w:tc>
      </w:tr>
      <w:tr>
        <w:trPr>
          <w:trHeight w:val="567"/>
        </w:trPr>
        <w:tc>
          <w:tcPr>
            <w:tcW w:type="dxa" w:w="3000"/>
          </w:tcPr>
          <w:p>
            <w:r>
              <w:t>Thème</w:t>
            </w:r>
          </w:p>
        </w:tc>
        <w:tc>
          <w:tcPr>
            <w:tcW w:type="dxa" w:w="7000"/>
          </w:tcPr>
          <w:p>
            <w:r>
              <w:t>chauffage et ventilation</w:t>
            </w:r>
          </w:p>
        </w:tc>
      </w:tr>
      <w:tr>
        <w:trPr>
          <w:trHeight w:val="567"/>
        </w:trPr>
        <w:tc>
          <w:tcPr>
            <w:tcW w:type="dxa" w:w="3000"/>
          </w:tcPr>
          <w:p>
            <w:r>
              <w:t>Classification(s)</w:t>
            </w:r>
          </w:p>
        </w:tc>
        <w:tc>
          <w:tcPr>
            <w:tcW w:type="dxa" w:w="7000"/>
          </w:tcPr>
          <w:p>
            <w:r>
              <w:t xml:space="preserve">Chauffage et ventilation/ </w:t>
            </w:r>
          </w:p>
        </w:tc>
      </w:tr>
      <w:tr>
        <w:trPr>
          <w:trHeight w:val="567"/>
        </w:trPr>
        <w:tc>
          <w:tcPr>
            <w:tcW w:type="dxa" w:w="3000"/>
          </w:tcPr>
          <w:p>
            <w:r>
              <w:t>Sujet(s)</w:t>
            </w:r>
          </w:p>
        </w:tc>
        <w:tc>
          <w:tcPr>
            <w:tcW w:type="dxa" w:w="7000"/>
          </w:tcPr>
          <w:p>
            <w:r>
              <w:t xml:space="preserve">appareil de climatisation/ </w:t>
            </w:r>
          </w:p>
        </w:tc>
      </w:tr>
    </w:tbl>
    <w:p>
      <w:pPr>
        <w:pStyle w:val="Heading3"/>
      </w:pPr>
      <w:r>
        <w:t>Résumé :</w:t>
      </w:r>
    </w:p>
    <w:p>
      <w:r>
        <w:t>Parmi les métiers émergents à l'aube du prochain millénaire, ceux liés au confort de l'habitat des bâtiments recevant du public et industriels ont un bel avenir.</w:t>
        <w:br/>
        <w:br/>
        <w:br/>
        <w:br/>
        <w:t>Les usagers exigent de plus en plus des conditions d'ambiance en température, humidité, et environnement d'une grande qualité.</w:t>
        <w:br/>
        <w:br/>
        <w:br/>
        <w:br/>
        <w:t>Les aspects réglementaires du traitement des ambiances relatifs à l'hygiène, la santé, la salubrité, la sécurité, l'acoustique et l'environnement nécessitent la formation de spécialistes de haut niveau avec des compétences techniques, relationnelles et organisationnelles, maîtrisant une démarche de projet pour concevoir des traitements d'ambiances correspondant au cahier des charges des maîtres d'ouvrage.</w:t>
        <w:br/>
        <w:br/>
        <w:br/>
        <w:br/>
        <w:t>Une équipe de professionnels expérimentés, coordonnée par Monsieur Roger CASARI, Ingénieur Conseil en conditionnement thermique et hydrique des ambiances, a élaboré un guide de conception des installations de climatisation et de conditionnement de l'air qui permettra aux maîtres d'oeuvre de maîtriser une démarche méthodologique du projet.</w:t>
        <w:br/>
        <w:br/>
        <w:t>Il sera également un outil très précieux au service des enseignants chargés de la formation des techniciens supérieurs Fluides - Energies - Environnement.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