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Study of the cracking of a structure subjected to thermal loading using the mechanistic-reliability  approach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Mustapha, HADJI/ Khelif, Rabia/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Génie 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reliability/ aluminum extrusion/ critical damage/ </w:t>
            </w:r>
          </w:p>
        </w:tc>
      </w:tr>
    </w:tbl>
    <w:p>
      <w:pPr>
        <w:pStyle w:val="Heading3"/>
      </w:pPr>
      <w:r>
        <w:t>Résumé :</w:t>
      </w:r>
    </w:p>
    <w:p>
      <w:r>
        <w:t>In hot aluminum extrusion, die lifetime is a critical industrial issue governed by thermal fatigue and damage mechanisms. This study proposes a probabilistic mechanistic–reliability framework to predict extrusion die lifetime using stress–strength interference analysis. The approach couples the Hansel–Spittel rheological model with the Lemaitre–Chaboche fatigue damage model to account for material behavior and damage evolution. Reliability analysis is used to evaluate the influence of random process parameter variations on die performance. The results highlight the dominant effect of temperature on damage accumulation, reliability index β, and the maximum number of extruded billets, denoted as Nf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