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Constructions métalliques civiles et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Pierre/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2859781110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w:t>
            </w:r>
          </w:p>
        </w:tc>
      </w:tr>
    </w:tbl>
    <w:p>
      <w:pPr>
        <w:pStyle w:val="Heading3"/>
      </w:pPr>
      <w:r>
        <w:t>Résumé :</w:t>
      </w:r>
    </w:p>
    <w:p>
      <w:r>
        <w:t>L'objectif de l'ouvrage n'est pas l'exhaustivité - " l'ennuyeux consiste à tout dire " -, mais, en focalisant sur quelques aspects, de montrer la cohérence d'un corps de disciplines scientifiques comprenant : mécanique, chimie, modélisation, mathématiques... En outre, les aspects réglementaires, bien souvent indigestes, trouvent ici une partie de leur justification fondamentale qui est toujours, à la base, physique. Ce livre répond ainsi à quelques questions que se pose le concepteur : quels matériaux choisir ? Comment dimensionner et analyser la tenue des systèmes ? Une place particulière est notamment accordée au traitement de points spécifiques tels que le risque d'instabilité ou la conception et la tenue des assemblages. On y trouvera également identifiés un certain nombre de problèmes rencontrés en matière de chaudronnerie et de tuyauterie. Cet ouvrage s'adresse à des praticiens, soucieux de mieux maîtriser leur savoir actuel, en élargissant le périmètre de leurs connaissances de base. Il concerne également les étudiants issus d'une formation en mécanique et résistance des matériaux, ayant l'ambition d'accéder au domaine des applications et de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