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Suivi technologique hydraulique eau 2004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technique des industries mécaniques/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CETIM/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Performances(N°:None)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2854006747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hydraulique à eau/ pression hydraulique/ </w:t>
            </w:r>
          </w:p>
        </w:tc>
      </w:tr>
    </w:tbl>
    <w:p>
      <w:pPr>
        <w:pStyle w:val="Heading3"/>
      </w:pPr>
      <w:r>
        <w:t>Résumé :</w:t>
      </w:r>
    </w:p>
    <w:p>
      <w:r>
        <w:t>le Cetim suit l'intérêt que représente cette technologie en assistant à différentes manifestations, salons et congrès, et en examinant les réalisations industrielles et les publications. En 2004, cet examen a porté plus particulièrement sur les informations publiées dans la presse technique et sur Internet sur la 4ème conférence internationale Fluid Power 2004 à Dresde, les salons Mecanelem-Industrie 2004 à Villepinte, Pollutec à Lyon.</w:t>
        <w:br/>
        <w:br/>
        <w:t>Deux entretiens ont été conduits avec des industriels pour identifier les tendances de l'hydraulique à l'eau et les applications marquantes. Notre rapport résume les enseignements de cette action.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