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Directive machines 2006-42-CE - impact pour les appareils de robinetterie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marquage CE/ vanne industrielle/ </w:t>
            </w:r>
          </w:p>
        </w:tc>
      </w:tr>
    </w:tbl>
    <w:p>
      <w:pPr>
        <w:pStyle w:val="Heading3"/>
      </w:pPr>
      <w:r>
        <w:t>Résumé :</w:t>
      </w:r>
    </w:p>
    <w:p>
      <w:r>
        <w:t>La Directive machines 2006/42/CE constitue le cadre réglementaire européen destiné à garantir la sécurité des machines mises sur le marché de l’Union européenne.</w:t>
        <w:br/>
        <w:br/>
        <w:t>Elle remplace l’ancienne Directive 98/37/CE et introduit plusieurs clarifications concernant la définition des machines et des quasi-machines.</w:t>
        <w:br/>
        <w:br/>
        <w:br/>
        <w:br/>
        <w:t>Le document analyse l’impact de cette directive sur les appareils de robinetterie industrielle (vannes, robinets, organes de régulation), car ces équipements sont souvent intégrés dans des installations ou des machines industrielles.</w:t>
        <w:br/>
        <w:br/>
        <w:br/>
        <w:br/>
        <w:t>L’objectif est d’aider les fabricants et concepteurs de robinetterie à comprendre :</w:t>
        <w:br/>
        <w:br/>
        <w:br/>
        <w:br/>
        <w:t>leur statut réglementaire,</w:t>
        <w:br/>
        <w:br/>
        <w:br/>
        <w:br/>
        <w:t>leurs obligations en matière de sécurité,</w:t>
        <w:br/>
        <w:br/>
        <w:br/>
        <w:br/>
        <w:t>les démarches nécessaires pour la conformité.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