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Reliefs &amp; tectonique récente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Delcaillau, Bernard/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VIII-259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239-252.  Glossaire Index</w:t>
            </w:r>
          </w:p>
        </w:tc>
      </w:tr>
      <w:tr>
        <w:trPr>
          <w:trHeight w:val="567"/>
        </w:trPr>
        <w:tc>
          <w:tcPr>
            <w:tcW w:type="dxa" w:w="3000"/>
          </w:tcPr>
          <w:p>
            <w:r>
              <w:t>Numéro d'Identification</w:t>
            </w:r>
          </w:p>
        </w:tc>
        <w:tc>
          <w:tcPr>
            <w:tcW w:type="dxa" w:w="7000"/>
          </w:tcPr>
          <w:p>
            <w:r>
              <w:t>271175376X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Néotectonique/ Morphotectonique/ </w:t>
            </w:r>
          </w:p>
        </w:tc>
      </w:tr>
    </w:tbl>
    <w:p>
      <w:pPr>
        <w:pStyle w:val="Heading3"/>
      </w:pPr>
      <w:r>
        <w:t>Résumé :</w:t>
      </w:r>
    </w:p>
    <w:p>
      <w:r>
        <w:t>" La géomorphologie structurale a connu un profond renouvellement. A l'approche statique et descriptive des reliefs en fonction de la structure acquise des terrains, s'est ajoutée une approche dynamique, nouvelle et en pleine évolution. On s'est aperçu que les grands reliefs comme les chaînes de montagnes devaient leur maintien à des soulèvements récents, encore actuels, seuls susceptibles de compenser une érosion très active. Au début, on pensait dans une vision statique que les formes du relief résultaient de l'érosion des structures préexistantes : la tectonique expliquait la morphologie. Sans que cette approche soit délaissée, c'est aujourd'hui la morphologie qui permet souvent d'expliquer la néotectonique. C'est un changement essentiel pour la géomorphologie qui se place ainsi au cœur des géosciences. L'ouvrage du professeur Bernard Delcaillau fait le point sur cette vision dynamique des reliefs du globe, aux différentes échelles, en une synthèse très nouvelle de la géomorphologie des régions tectoniques actives.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