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procédés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Valard, Jean-Pierre/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Systèmes automatisés(N°:None)</w:t>
            </w:r>
          </w:p>
        </w:tc>
      </w:tr>
      <w:tr>
        <w:trPr>
          <w:trHeight w:val="567"/>
        </w:trPr>
        <w:tc>
          <w:tcPr>
            <w:tcW w:type="dxa" w:w="3000"/>
          </w:tcPr>
          <w:p>
            <w:r>
              <w:t>Notes Générales</w:t>
            </w:r>
          </w:p>
        </w:tc>
        <w:tc>
          <w:tcPr>
            <w:tcW w:type="dxa" w:w="7000"/>
          </w:tcPr>
          <w:p>
            <w:r>
              <w:t>Index p.p. 257-259</w:t>
            </w:r>
          </w:p>
        </w:tc>
      </w:tr>
      <w:tr>
        <w:trPr>
          <w:trHeight w:val="567"/>
        </w:trPr>
        <w:tc>
          <w:tcPr>
            <w:tcW w:type="dxa" w:w="3000"/>
          </w:tcPr>
          <w:p>
            <w:r>
              <w:t>Numéro d'Identification</w:t>
            </w:r>
          </w:p>
        </w:tc>
        <w:tc>
          <w:tcPr>
            <w:tcW w:type="dxa" w:w="7000"/>
          </w:tcPr>
          <w:p>
            <w:r>
              <w:t>2746202069</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génie des procédés/ régulation industrielle (PID)/ </w:t>
            </w:r>
          </w:p>
        </w:tc>
      </w:tr>
    </w:tbl>
    <w:p>
      <w:pPr>
        <w:pStyle w:val="Heading3"/>
      </w:pPr>
      <w:r>
        <w:t>Résumé :</w:t>
      </w:r>
    </w:p>
    <w:p>
      <w:r>
        <w:t>Cet ouvrage traite des méthodes et des outils du génie des procédés en relation avec l'automatique. Il est basé sur la démarche de conception d'un système automatique en génie des procédés : modélisation, estimation et identification, conception de la loi de commande.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