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Climatisation &amp; conditionnement d'air modernes par l'exemple.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Reinmuth, Friedrich/ Cauchepin, Jean-Louis/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249-258</w:t>
            </w:r>
          </w:p>
        </w:tc>
      </w:tr>
      <w:tr>
        <w:trPr>
          <w:trHeight w:val="567"/>
        </w:trPr>
        <w:tc>
          <w:tcPr>
            <w:tcW w:type="dxa" w:w="3000"/>
          </w:tcPr>
          <w:p>
            <w:r>
              <w:t>Numéro d'Identification</w:t>
            </w:r>
          </w:p>
        </w:tc>
        <w:tc>
          <w:tcPr>
            <w:tcW w:type="dxa" w:w="7000"/>
          </w:tcPr>
          <w:p>
            <w:r>
              <w:t>291100826X</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air conditionné/ humidité de l'air/ </w:t>
            </w:r>
          </w:p>
        </w:tc>
      </w:tr>
    </w:tbl>
    <w:p>
      <w:pPr>
        <w:pStyle w:val="Heading3"/>
      </w:pPr>
      <w:r>
        <w:t>Résumé :</w:t>
      </w:r>
    </w:p>
    <w:p>
      <w:r>
        <w:t>Toute installation de climatisation ou de conditionnement d'air suppose la maîtrise simultanée d'un nombre plus ou moins important de grandeurs de consigne - température, humidité relative, qualité de l'air, mouvements d'air, bruit - et en amont une action sur une multitude de paramètres.</w:t>
        <w:br/>
        <w:br/>
        <w:t>La seule maîtrise des mouvements d'air ambiant par exemple - ce qui sous-entend contrôle du gradient vitesse d'air et contrôle de la direction de l'écoulement - nécessite une sélection de bouches de soufflage adéquates (les bouches de reprise jouant un rôle secondaire), le calcul de leur nombre, la détermination de leur emplacement, la vérification de l'écart de température au soufflage, etc. A son tour, la seule sélection du type de bouche doit prendre en compte les possibilités de réglage, les problèmes acoustiques, la portée du jet, le risque d'effet Coanda, sans oublier les souhaits du maître d'ouvrage et du maître d'oeuvre quant a l'esthétique.</w:t>
        <w:br/>
        <w:br/>
        <w:br/>
        <w:br/>
        <w:t>La situation est tout à fait similaire pour les autres paramètres dont la maîtrise dépend du calcul correct des charges, de la prise en compte des dégagements d'humidité, de la sélection correcte des matériels etc.</w:t>
        <w:br/>
        <w:br/>
        <w:br/>
        <w:br/>
        <w:t>Une installation de climatisation ou de conditionnement d'air est donc un ensemble complexe, destiné en outre à s'intégrer dans un contexte spécifique, à savoir, dans la plupart des cas, celui d'une construction fixe. Cela signifie qu'il lui faudra souvent s'adapter à ce contexte tout en le modelant parfois : c'est le cas par exemple lorsque pour réduire les charges internes on est amené à prévoir des luminaires spéciaux assurant la reprise de l'air.</w:t>
        <w:br/>
        <w:br/>
        <w:br/>
        <w:br/>
        <w:t>Cette situation sous-entend une obligation essentielle : réussir l'installation du premier coup, toute modification ultérieure se révélant toujours lourde de conséquences car entraînant des problèmes en chaîne fréquemment insolubles. Il en résulte alors de graves litiges dont l'origine est trop souvent l'incompétence avec pour conséquence plus generis et donc d'autant plus préjudiciable une détérioration de l'image de marque de la climatisation et du conditionnement d'air.</w:t>
        <w:br/>
        <w:br/>
        <w:br/>
        <w:br/>
        <w:t>C'est pour ne pas tomber dans de tels travers, autrement dit pour donner a tous ceux qui le souhaitent la possibilité de devenir des climaticiens confirmés, que l'ouvrage en 2 tomes « Climatisation et conditionnement d'air modernes par l'exemple » a vu le jour.</w:t>
        <w:br/>
        <w:br/>
        <w:br/>
        <w:br/>
        <w:t>Le tome 1 intitulé « Les calculs » rassemble toutes les données nécessaires pour mener à bien les calculs, qu'il s'agisse des changements d'état de l'air, des débits à mettre en oeuvre, de la diffusion de l'air ou encore des mesures à prendre pour éviter la transmission des bruits.</w:t>
        <w:br/>
        <w:br/>
        <w:br/>
        <w:br/>
        <w:t>Pour ce qui est du cas particulier du calcul des charges, il nécessite impérativement de disposer de documents exhaustifs. Et comme cela représente une masse de données considérable qui ne pouvait trouver sa place dans le tome 1 sans l'alourdir au-delà du raisonnable, nous avons délibérément choisi de renvoyer le lecteur vers des méthodes de calcul des charges cohérentes et complètes faisant elles-mêmes l'objet de deux ouvrages. Par contre, nous avons présenté le principe du calcul avec ses différentes phases et insisté sur la complexité du calcul et l'importance de la justesse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