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Polarité commerciale et enjeux fonciers dans les quartiers informels, cas de la périphérie sud-est de constantine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Yeddiou, Maroua/ Zennir, Rabah/ </w:t>
            </w:r>
          </w:p>
        </w:tc>
      </w:tr>
      <w:tr>
        <w:trPr>
          <w:trHeight w:val="567"/>
        </w:trPr>
        <w:tc>
          <w:tcPr>
            <w:tcW w:type="dxa" w:w="3000"/>
          </w:tcPr>
          <w:p>
            <w:r>
              <w:t>Nombre de Pages</w:t>
            </w:r>
          </w:p>
        </w:tc>
        <w:tc>
          <w:tcPr>
            <w:tcW w:type="dxa" w:w="7000"/>
          </w:tcPr>
          <w:p>
            <w:r>
              <w:t>212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étalement urbain informel/ métropolisation/ planification urbaine/ </w:t>
            </w:r>
          </w:p>
        </w:tc>
      </w:tr>
    </w:tbl>
    <w:p>
      <w:pPr>
        <w:pStyle w:val="Heading3"/>
      </w:pPr>
      <w:r>
        <w:t>Résumé :</w:t>
      </w:r>
    </w:p>
    <w:p>
      <w:r>
        <w:t>Cette thèse porte sur l’urbanisation informelle à Constantine Elle examine les mécanismes à l’œuvre dans l’extension informelle de la ville dans le contexte sa métropolisation. L’étude repose sur un constat, l’extension informelle prend aujourd’hui de nouvelles formes qui dépassent les logiques habitantes et s’inscrit dans des stratégies foncière et immobilières qui contribuent à la reconfiguration fonctionnelle de la périphérie. Dans ce contexte, l’analyse mobilise l’approche des marchés pour interroger les logiques foncières à l’origine de cette dynamique en adéquation avec le rôle structurant du foncier dans la production du cadre bâti informel. L’approche a permis d’identifier deux types de marchés fonciers informels agissant en amont de l’urbanisation informelle : le marché du foncier agricole et le marché du foncier urbanisable à travers leurs éléments constituants :  acteurs, leurs logiques de valorisation, et formes urbaines qui en découlent. Des résultat à travers lesquels des éléments de réponse ont été avancé quant à l’apport d’une telle approche pour la maîtrise de l’Etalement urbaine dans le cadre de la réglementation et de la gouvernance.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