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charges de climatisation et conditionnement d'air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des ingénieurs en climatique, ventilation et froid (France)/ Roger, Maurice/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des guides de l'AICVF(N°:None)</w:t>
            </w:r>
          </w:p>
        </w:tc>
      </w:tr>
      <w:tr>
        <w:trPr>
          <w:trHeight w:val="567"/>
        </w:trPr>
        <w:tc>
          <w:tcPr>
            <w:tcW w:type="dxa" w:w="3000"/>
          </w:tcPr>
          <w:p>
            <w:r>
              <w:t>Numéro d'Identification</w:t>
            </w:r>
          </w:p>
        </w:tc>
        <w:tc>
          <w:tcPr>
            <w:tcW w:type="dxa" w:w="7000"/>
          </w:tcPr>
          <w:p>
            <w:r>
              <w:t>2911008227</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Aéraulique/ conditionnement d'air/ </w:t>
            </w:r>
          </w:p>
        </w:tc>
      </w:tr>
    </w:tbl>
    <w:p>
      <w:pPr>
        <w:pStyle w:val="Heading3"/>
      </w:pPr>
      <w:r>
        <w:t>Résumé :</w:t>
      </w:r>
    </w:p>
    <w:p>
      <w:r>
        <w:t>Le calcul des charges de climatisation, ou de conditionnement d'air, prélude indispensable à la conception des projets correspondants, est généralement traité sous forme de standards, s'apparentant - dans leur conception - à des normes. La différence essentielle, dans les propositions du Guide n°2 de l'AICVF, par rapport aux situations antérieures, tient au caractère non monolithique des propositions, et à la souplesse d'utilisation des démarches proposées.</w:t>
        <w:br/>
        <w:br/>
        <w:br/>
        <w:br/>
        <w:t>Les outils fournis peuvent être utilisés tels quels, ou bien adaptés, soit à des climats autres que ceux de la France métropolitaine, soit à des situations spécifiques : types de bâtiments, types de systèmes, etc.</w:t>
        <w:br/>
        <w:br/>
        <w:br/>
        <w:br/>
        <w:t>Afin d'y parvenir pleinement, le Guide proprement dit est accompagné d'un recueil détaillant les conventions, formulations et données de base adoptées par le Guide, ou utilisables pour ses extensions. Le Guide débouche sur deux types de méthodes de calcul : les méthodes "manuelles" au nombre de cinq (graduées selon l'importance et la complexité des projets, et selon les besoins du projeteur) et les méthodes "logicielles".</w:t>
        <w:br/>
        <w:br/>
        <w:br/>
        <w:br/>
        <w:t>Les méthodes manuelles sont assises sur 100 tables, toutes établies spécialement pour l'ouvrage, et jusqu'ici indisponibles dans la littérature technique mondiale, à de très rares exceptions près. Ces tables couvrent la moitié du Guide, et représentent plus de 10.000 données.</w:t>
        <w:br/>
        <w:br/>
        <w:br/>
        <w:br/>
        <w:t>Quant aux méthodes logicielles, elles reposent sur des formules et des algorithmes complètement fournis dans le recueil, lequel est accompagné d'un cédérom contenant les principaux codes de calcul en Visual Basic, totalement libres de droits.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