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charges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Courtin, Philippe/ </w:t>
            </w:r>
          </w:p>
        </w:tc>
      </w:tr>
      <w:tr>
        <w:trPr>
          <w:trHeight w:val="567"/>
        </w:trPr>
        <w:tc>
          <w:tcPr>
            <w:tcW w:type="dxa" w:w="3000"/>
          </w:tcPr>
          <w:p>
            <w:r>
              <w:t>Adresse bib.</w:t>
            </w:r>
          </w:p>
        </w:tc>
        <w:tc>
          <w:tcPr>
            <w:tcW w:type="dxa" w:w="7000"/>
          </w:tcPr>
          <w:p>
            <w:r>
              <w:t xml:space="preserve">Les éditions parisiennes (EDIPA)/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Climatisation, conditionnement d'air(N°:None)</w:t>
            </w:r>
          </w:p>
        </w:tc>
      </w:tr>
      <w:tr>
        <w:trPr>
          <w:trHeight w:val="567"/>
        </w:trPr>
        <w:tc>
          <w:tcPr>
            <w:tcW w:type="dxa" w:w="3000"/>
          </w:tcPr>
          <w:p>
            <w:r>
              <w:t>Numéro d'Identification</w:t>
            </w:r>
          </w:p>
        </w:tc>
        <w:tc>
          <w:tcPr>
            <w:tcW w:type="dxa" w:w="7000"/>
          </w:tcPr>
          <w:p>
            <w:r>
              <w:t>2862430528</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Climatisation/ conditionnement d'air/ </w:t>
            </w:r>
          </w:p>
        </w:tc>
      </w:tr>
    </w:tbl>
    <w:p>
      <w:pPr>
        <w:pStyle w:val="Heading3"/>
      </w:pPr>
      <w:r>
        <w:t>Résumé :</w:t>
      </w:r>
    </w:p>
    <w:p>
      <w:r>
        <w:t>Le premier chapitre est consacré à la méthode elle-même et permet d'apprendre à l'utiliser sur la base d'une étude de cas. On y calcule les charges extérieures et les charges intérieures d'un bâtiment de bureaux en appliquant les données les plus récentes (normes, publications françaises et européennes...).</w:t>
        <w:br/>
        <w:br/>
        <w:t>Le chapitre deux est consacré à la description physiologique, physique et statistique du confort humain et à l'expression des charges dues aux occupants, aux machines et aux éclairages. La norme EN ISO 7730 est largement abordée, ainsi que son application dans la méthode que nous proposons. Enfin toutes les formules utiles à l'établissement des tables de calculs des charges internes sont données. Le lecteur qui souhaite développer des calculs concernant des configurations et des projets particuliers, non prévus par les tables du livre, en a donc la possibilité.</w:t>
        <w:br/>
        <w:br/>
        <w:t>Le troisième chapitre s'intéresse aux comportements des matériaux soumis aux rayonnements solaires et infrarouges. On y trouvera en particulier toutes les formules et les concepts concernant les températures équivalentes, les températures virtuelles, les inerties et les charges extérieures.</w:t>
        <w:br/>
        <w:br/>
        <w:t>Dans le chapitre quatre sont traités les éléments qui décrivent les caractéristiques et les comportements de l'air humide et de ses composants. On y trouve aussi la définition de la droite de soufflage caractérisant, dans le diagramme de l'air humide, l'action thermodynamique des charges d'un local sur l'air.</w:t>
        <w:br/>
        <w:br/>
        <w:t>Le chapitre cinq rappelle, quant à lui, les lois des transferts de chaleur et de masse, les formules qui régissent les mouvements solaires et précise les caractéristiques des flux de chaleur engendrés par le soleil.</w:t>
        <w:br/>
        <w:br/>
        <w:t>D'une manière générale, toutes les formules de calcul des valeurs données dans les ables sont fournies dans l'ouvrage. Cela permettra à chacun d'élargir le champ d'étude Volontairement restreint, offert par les tables.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