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Quand le Massif central était sous l'équateur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Poplin, Cécile/ Heyler, Daniel/ </w:t>
            </w:r>
          </w:p>
        </w:tc>
      </w:tr>
      <w:tr>
        <w:trPr>
          <w:trHeight w:val="567"/>
        </w:trPr>
        <w:tc>
          <w:tcPr>
            <w:tcW w:type="dxa" w:w="3000"/>
          </w:tcPr>
          <w:p>
            <w:r>
              <w:t>Adresse bib.</w:t>
            </w:r>
          </w:p>
        </w:tc>
        <w:tc>
          <w:tcPr>
            <w:tcW w:type="dxa" w:w="7000"/>
          </w:tcPr>
          <w:p>
            <w:r>
              <w:t xml:space="preserve">CTHS/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Mémoires de la Section des sciences(N°:12)</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2735502872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paléoécologie/ Carbonifère/ </w:t>
            </w:r>
          </w:p>
        </w:tc>
      </w:tr>
    </w:tbl>
    <w:p>
      <w:pPr>
        <w:pStyle w:val="Heading3"/>
      </w:pPr>
      <w:r>
        <w:t>Résumé :</w:t>
      </w:r>
    </w:p>
    <w:p>
      <w:r>
        <w:t>L’ouvrage décrit la faune et la flore fossiles découvertes sur ce site exceptionnel et reconstitue un environnement tropical ancien, marqué par des marécages, une végétation luxuriante et une grande diversité d’animaux.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