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Coiffet, Philippe/ </w:t>
            </w:r>
          </w:p>
        </w:tc>
      </w:tr>
      <w:tr>
        <w:trPr>
          <w:trHeight w:val="567"/>
        </w:trPr>
        <w:tc>
          <w:tcPr>
            <w:tcW w:type="dxa" w:w="3000"/>
          </w:tcPr>
          <w:p>
            <w:r>
              <w:t>Adresse bib.</w:t>
            </w:r>
          </w:p>
        </w:tc>
        <w:tc>
          <w:tcPr>
            <w:tcW w:type="dxa" w:w="7000"/>
          </w:tcPr>
          <w:p>
            <w:r>
              <w:t xml:space="preserve">Hermes publishing France/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2866010205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modèle Géométrique Direct (MGD)/ Degrés de Liberté (DDL)/ </w:t>
            </w:r>
          </w:p>
        </w:tc>
      </w:tr>
    </w:tbl>
    <w:p>
      <w:pPr>
        <w:pStyle w:val="Heading3"/>
      </w:pPr>
      <w:r>
        <w:t>Résumé :</w:t>
      </w:r>
    </w:p>
    <w:p>
      <w:r>
        <w:t>L'objectif principal de ce livre est de démystifier le fonctionnement des robots en les traitant comme des systèmes articulés, actionnés et sensibles. Il ne se contente pas de décrire les machines, mais explore la science du mouvement.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