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Gazéification des combustibles solides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Comité pour le Développement des Technologies d'emploi du Charbon ( CODETEC)/ Centre d'étude et recherches des charbonnages de France/ </w:t>
            </w:r>
          </w:p>
        </w:tc>
      </w:tr>
      <w:tr>
        <w:trPr>
          <w:trHeight w:val="567"/>
        </w:trPr>
        <w:tc>
          <w:tcPr>
            <w:tcW w:type="dxa" w:w="3000"/>
          </w:tcPr>
          <w:p>
            <w:r>
              <w:t>Adresse bib.</w:t>
            </w:r>
          </w:p>
        </w:tc>
        <w:tc>
          <w:tcPr>
            <w:tcW w:type="dxa" w:w="7000"/>
          </w:tcPr>
          <w:p>
            <w:r>
              <w:t xml:space="preserve">Editions Technip/ </w:t>
            </w:r>
          </w:p>
        </w:tc>
      </w:tr>
      <w:tr>
        <w:trPr>
          <w:trHeight w:val="567"/>
        </w:trPr>
        <w:tc>
          <w:tcPr>
            <w:tcW w:type="dxa" w:w="3000"/>
          </w:tcPr>
          <w:p>
            <w:r>
              <w:t>Nombre de Pages</w:t>
            </w:r>
          </w:p>
        </w:tc>
        <w:tc>
          <w:tcPr>
            <w:tcW w:type="dxa" w:w="7000"/>
          </w:tcPr>
          <w:p>
            <w:r>
              <w:t>79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Cahiers de l'utilisation du charbon(N°:None)</w:t>
            </w:r>
          </w:p>
        </w:tc>
      </w:tr>
      <w:tr>
        <w:trPr>
          <w:trHeight w:val="567"/>
        </w:trPr>
        <w:tc>
          <w:tcPr>
            <w:tcW w:type="dxa" w:w="3000"/>
          </w:tcPr>
          <w:p>
            <w:r>
              <w:t>Numéro d'Identification</w:t>
            </w:r>
          </w:p>
        </w:tc>
        <w:tc>
          <w:tcPr>
            <w:tcW w:type="dxa" w:w="7000"/>
          </w:tcPr>
          <w:p>
            <w:r>
              <w:t>2710804670</w:t>
            </w:r>
          </w:p>
        </w:tc>
      </w:tr>
      <w:tr>
        <w:trPr>
          <w:trHeight w:val="567"/>
        </w:trPr>
        <w:tc>
          <w:tcPr>
            <w:tcW w:type="dxa" w:w="3000"/>
          </w:tcPr>
          <w:p>
            <w:r>
              <w:t>Thème</w:t>
            </w:r>
          </w:p>
        </w:tc>
        <w:tc>
          <w:tcPr>
            <w:tcW w:type="dxa" w:w="7000"/>
          </w:tcPr>
          <w:p>
            <w:r>
              <w:t>Mines</w:t>
            </w:r>
          </w:p>
        </w:tc>
      </w:tr>
      <w:tr>
        <w:trPr>
          <w:trHeight w:val="567"/>
        </w:trPr>
        <w:tc>
          <w:tcPr>
            <w:tcW w:type="dxa" w:w="3000"/>
          </w:tcPr>
          <w:p>
            <w:r>
              <w:t>Classification(s)</w:t>
            </w:r>
          </w:p>
        </w:tc>
        <w:tc>
          <w:tcPr>
            <w:tcW w:type="dxa" w:w="7000"/>
          </w:tcPr>
          <w:p>
            <w:r>
              <w:t xml:space="preserve">622/ </w:t>
            </w:r>
          </w:p>
        </w:tc>
      </w:tr>
      <w:tr>
        <w:trPr>
          <w:trHeight w:val="567"/>
        </w:trPr>
        <w:tc>
          <w:tcPr>
            <w:tcW w:type="dxa" w:w="3000"/>
          </w:tcPr>
          <w:p>
            <w:r>
              <w:t>Sujet(s)</w:t>
            </w:r>
          </w:p>
        </w:tc>
        <w:tc>
          <w:tcPr>
            <w:tcW w:type="dxa" w:w="7000"/>
          </w:tcPr>
          <w:p>
            <w:r>
              <w:t xml:space="preserve">gazéification/ </w:t>
            </w:r>
          </w:p>
        </w:tc>
      </w:tr>
    </w:tbl>
    <w:p>
      <w:pPr>
        <w:pStyle w:val="Heading3"/>
      </w:pPr>
      <w:r>
        <w:t>Résumé :</w:t>
      </w:r>
    </w:p>
    <w:p>
      <w:r>
        <w:t>Depuis la première crise pétrolière, en 1973, le rapport entre les prix du charbon et les prix du pétrole et du gaz naturel a fortement diminué. On a donc pu, de nouveau, envisager de fabriquer dans des condi-tions économiques, du gaz combustible à partir de char-bon. La gazéification du coke n'a pas été reprise. Par contre, les travaux de recherches et de développements concernant la gazéification des charbons et lignites, mise en sommeil vers 1955 ont été repris et amplifiés principalement aux Etats-Unis et en République Fédérale d'Allemagne, et également en Grande-Bretagne. En fait, les projets industriels n'ont commencé vraiment à éclore de façon crédible qu'après la seconde crise pétro-lière en 1978. Actuellement, en 1983, on n'en est encore (en dehors de l'Afrique du Sud) qu'au stade des gros pilotes et unités de démonstration industrielles. Mais il est fort probable que d'ici 5 à 10 ans la gazéifica-tion des charbons et lignites aura pris une extension importante.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