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législation batiment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éditions practicom/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Algériens Pédagogiques(N°:None)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9961330013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législation du bâtiment/ droit de la construction/ </w:t>
            </w:r>
          </w:p>
        </w:tc>
      </w:tr>
    </w:tbl>
    <w:p>
      <w:pPr>
        <w:pStyle w:val="Heading3"/>
      </w:pPr>
      <w:r>
        <w:t>Résumé :</w:t>
      </w:r>
    </w:p>
    <w:p>
      <w:r>
        <w:t>La réalisation d'un projet ou d'un affaire passe par différentes phses allant de la maturation de l'idée jusqu'à la réalisation final. a chaque étape correspond l'intervention d'un ou plusieurs acteurs déterminés avec un role et une responsabilité bien précis.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