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de défaillances de pièces plastiques et composites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technique des industries mécaniques/ </w:t>
            </w:r>
          </w:p>
        </w:tc>
      </w:tr>
      <w:tr>
        <w:trPr>
          <w:trHeight w:val="567"/>
        </w:trPr>
        <w:tc>
          <w:tcPr>
            <w:tcW w:type="dxa" w:w="3000"/>
          </w:tcPr>
          <w:p>
            <w:r>
              <w:t>Adresse bib.</w:t>
            </w:r>
          </w:p>
        </w:tc>
        <w:tc>
          <w:tcPr>
            <w:tcW w:type="dxa" w:w="7000"/>
          </w:tcPr>
          <w:p>
            <w:r>
              <w:t xml:space="preserve">CETIM/ </w:t>
            </w:r>
          </w:p>
        </w:tc>
      </w:tr>
      <w:tr>
        <w:trPr>
          <w:trHeight w:val="567"/>
        </w:trPr>
        <w:tc>
          <w:tcPr>
            <w:tcW w:type="dxa" w:w="3000"/>
          </w:tcPr>
          <w:p>
            <w:r>
              <w:t>Nombre de Pages</w:t>
            </w:r>
          </w:p>
        </w:tc>
        <w:tc>
          <w:tcPr>
            <w:tcW w:type="dxa" w:w="7000"/>
          </w:tcPr>
          <w:p>
            <w:r>
              <w:t>VII-142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Numéro d'Identification</w:t>
            </w:r>
          </w:p>
        </w:tc>
        <w:tc>
          <w:tcPr>
            <w:tcW w:type="dxa" w:w="7000"/>
          </w:tcPr>
          <w:p>
            <w:r>
              <w:t>2854004051</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détérioration/ analyse de défaillance/ </w:t>
            </w:r>
          </w:p>
        </w:tc>
      </w:tr>
    </w:tbl>
    <w:p>
      <w:pPr>
        <w:pStyle w:val="Heading3"/>
      </w:pPr>
      <w:r>
        <w:t>Résumé :</w:t>
      </w:r>
    </w:p>
    <w:p>
      <w:r>
        <w:t>Ce recueil est issu des « Deuxièmes Rencontres » techniques consacrées à l’analyse de défaillances de pièces plastiques et composites organisées à Nantes fin octobre 1996. Il rassemble des contributions d’experts industriels et académiques, centrées sur la compréhension des mécanismes de rupture, l’identification des causes des avaries et la mise en place de méthodes d’investigation applicables en expertise industrielle. L’ensemble se situe dans une logique d’amélioration de la qualité des produits et de réduction des coûts liés aux avaries.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