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des machines tournantes et des structures. T4, des cas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Bigret,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Ce tome est essentiellement consacré aux applications pratiques et industrielles des vibrations des rotors.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équilibrage/ isolation vibratoire/ </w:t>
            </w:r>
          </w:p>
        </w:tc>
      </w:tr>
    </w:tbl>
    <w:p>
      <w:pPr>
        <w:pStyle w:val="Heading3"/>
      </w:pPr>
      <w:r>
        <w:t>Résumé :</w:t>
      </w:r>
    </w:p>
    <w:p>
      <w:r>
        <w:t>Ce tome semble être centré sur des cas appliqués de vibrations en mécanique, incluant l’étude de systèmes vibrants simples (massif-ressort), les rotors et leurs liaisons, et des notions d’équilibrage, reflétant des applications pratiques dans les machines tournantes et les structures vibrantes.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