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Tectonique,1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Academic press/ Elsevier/ </w:t>
            </w:r>
          </w:p>
        </w:tc>
      </w:tr>
      <w:tr>
        <w:trPr>
          <w:trHeight w:val="567"/>
        </w:trPr>
        <w:tc>
          <w:tcPr>
            <w:tcW w:type="dxa" w:w="3000"/>
          </w:tcPr>
          <w:p>
            <w:r>
              <w:t>Nombre de Pages</w:t>
            </w:r>
          </w:p>
        </w:tc>
        <w:tc>
          <w:tcPr>
            <w:tcW w:type="dxa" w:w="7000"/>
          </w:tcPr>
          <w:p>
            <w:r>
              <w:t>508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Un point sur...(N°:None)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2842992415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prospection géophysique/ géophysique électromagnétique/ </w:t>
            </w:r>
          </w:p>
        </w:tc>
      </w:tr>
    </w:tbl>
    <w:p>
      <w:pPr>
        <w:pStyle w:val="Heading3"/>
      </w:pPr>
      <w:r>
        <w:t>Résumé :</w:t>
      </w:r>
    </w:p>
    <w:p>
      <w:r>
        <w:t>L'ouvrage explore les interactions entre les enveloppes fluides (océans) et la carcasse rigide de la planète (lithosphère et manteau). Il ne se contente pas de décrire la géographie des fonds marins, mais explique les processus physico-chimiques qui régissent le mouvement des plaques et la circulation océanique.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