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des machines tournantes et des structures.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Bigret,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319-321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physique/ modèle mathematique/ </w:t>
            </w:r>
          </w:p>
        </w:tc>
      </w:tr>
    </w:tbl>
    <w:p>
      <w:pPr>
        <w:pStyle w:val="Heading3"/>
      </w:pPr>
      <w:r>
        <w:t>Résumé :</w:t>
      </w:r>
    </w:p>
    <w:p>
      <w:r>
        <w:t>Le Tome 1 établit les bases théoriques fondamentales de la dynamique vibratoire appliquée aux machines tournantes.</w:t>
        <w:br/>
        <w:br/>
        <w:br/>
        <w:br/>
        <w:t>Il pose les outils mathématiques et physiques nécessaires pour comprendre :</w:t>
        <w:br/>
        <w:br/>
        <w:br/>
        <w:br/>
        <w:t>le comportement dynamique des rotors,</w:t>
        <w:br/>
        <w:br/>
        <w:br/>
        <w:br/>
        <w:t>les phénomènes de résonance,</w:t>
        <w:br/>
        <w:br/>
        <w:br/>
        <w:br/>
        <w:t>les vitesses critiques,</w:t>
        <w:br/>
        <w:br/>
        <w:br/>
        <w:br/>
        <w:t>la stabilité des systèmes en rotation.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