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Mobilité et transfert racinaire des éléments en traces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XX-282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2743005939</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Racines (botanique)/ Métabolisme/ Teneur en substances radioactives/ </w:t>
            </w:r>
          </w:p>
        </w:tc>
      </w:tr>
    </w:tbl>
    <w:p>
      <w:pPr>
        <w:pStyle w:val="Heading3"/>
      </w:pPr>
      <w:r>
        <w:t>Résumé :</w:t>
      </w:r>
    </w:p>
    <w:p>
      <w:r>
        <w:t>Cet ouvrage interdisciplinaire, fruit d'une collaboration entre géomicrobiologistes, biogéochimistes des sols et radioécologistes constitue une nouvelle étape dans l'acquisition des connaissances sur les processus biologiques pouvant modifier de façon significative le comportement des éléments en traces dans l'environnement et pour appréhender la complexité des cycles biogéochimiques.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