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Stratigraphie et paléogéographie ère cénozoïque: tertiaire et quaternaire Stratigraphie et paléogéographie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Babin,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1973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Doin/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269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257-263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9782704000050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Sciences de la terre et des autres mondes/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cénozoïque (Paléogène, Néogène, Quaternaire)/ orogenèse Alpine (Collision Afrique-Europe)/ </w:t>
            </w:r>
          </w:p>
        </w:tc>
      </w:tr>
    </w:tbl>
    <w:p>
      <w:pPr>
        <w:pStyle w:val="Heading3"/>
      </w:pPr>
      <w:r>
        <w:t>Résumé :</w:t>
      </w:r>
    </w:p>
    <w:p>
      <w:r>
        <w:t>Cet ouvrage détaille les 66 derniers millions d'années de l'histoire de la Terre. Il est divisé en deux grandes parties : le Tertiaire (Paléogène et Néogène) et le Quaternaire.</w:t>
        <w:br/>
        <w:br/>
        <w:br/>
        <w:br/>
        <w:t>L'auteur y analyse la mise en place définitive des chaînes de montagnes actuelles (orogenèse alpine et himalayenne) et le passage d'un monde "chaud" (Paléocène/Éocène) à un monde marqué par les grandes glaciations (Pléistocène). Une attention particulière est portée sur le Bassin Parisien, qui sert de modèle stratigraphique mondial pour de nombreux étages (Lutétien, Auversien, etc.).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