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Dejans, M/ lehu, H/ Sacquepey, D/ Spenlé, D/ Trotignon, J-P/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184-188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2123004235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limite elastique / </w:t>
            </w:r>
          </w:p>
        </w:tc>
      </w:tr>
    </w:tbl>
    <w:p>
      <w:pPr>
        <w:pStyle w:val="Heading3"/>
      </w:pPr>
      <w:r>
        <w:t>Résumé :</w:t>
      </w:r>
    </w:p>
    <w:p>
      <w:r>
        <w:t>Ce tome présente la méthodologie complète de conduite d’un projet mécanique,</w:t>
        <w:br/>
        <w:br/>
        <w:t>depuis l’analyse du besoin jusqu’à la validation finale.</w:t>
        <w:br/>
        <w:br/>
        <w:t>Il insiste sur l’analyse fonctionnelle, l’élaboration du cahier des charges fonctionnel (CdCF),</w:t>
        <w:br/>
        <w:br/>
        <w:t>l’étude de faisabilité technique et économique, ainsi que le choix argumenté des solutions</w:t>
        <w:br/>
        <w:br/>
        <w:t>technologiques.</w:t>
        <w:br/>
        <w:br/>
        <w:t>L’ouvrage rappelle les principes fondamentaux de la résistance des matériaux</w:t>
        <w:br/>
        <w:br/>
        <w:t>(traction, compression, flexion, torsion).</w:t>
        <w:br/>
        <w:br/>
        <w:t>Il détaille le calcul des contraintes normales et tangentielles,</w:t>
        <w:br/>
        <w:br/>
        <w:t>les critères de résistance (contrainte admissible, limite élastique),</w:t>
        <w:br/>
        <w:br/>
        <w:t>ainsi que l’utilisation des coefficients de sécurité.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