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Pétrographie de la matière organique des sédiments, relations avec la paléotempérature et le potentiel pétrolier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Centre national de la recherche scientifique (Paris). Colloque international/ Alpern, Boris/ </w:t>
            </w:r>
          </w:p>
        </w:tc>
      </w:tr>
      <w:tr>
        <w:trPr>
          <w:trHeight w:val="567"/>
        </w:trPr>
        <w:tc>
          <w:tcPr>
            <w:tcW w:type="dxa" w:w="3000"/>
          </w:tcPr>
          <w:p>
            <w:r>
              <w:t>Adresse bib.</w:t>
            </w:r>
          </w:p>
        </w:tc>
        <w:tc>
          <w:tcPr>
            <w:tcW w:type="dxa" w:w="7000"/>
          </w:tcPr>
          <w:p>
            <w:r>
              <w:t xml:space="preserve">Éditions du C.N.R.S./ </w:t>
            </w:r>
          </w:p>
        </w:tc>
      </w:tr>
      <w:tr>
        <w:trPr>
          <w:trHeight w:val="567"/>
        </w:trPr>
        <w:tc>
          <w:tcPr>
            <w:tcW w:type="dxa" w:w="3000"/>
          </w:tcPr>
          <w:p>
            <w:r>
              <w:t>Nombre de Pages</w:t>
            </w:r>
          </w:p>
        </w:tc>
        <w:tc>
          <w:tcPr>
            <w:tcW w:type="dxa" w:w="7000"/>
          </w:tcPr>
          <w:p>
            <w:r>
              <w:t>278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Titre de couv. : "Pétrographie organique et potentiel pétrolier".-Textes en français, anglais et allemand</w:t>
            </w:r>
          </w:p>
        </w:tc>
      </w:tr>
      <w:tr>
        <w:trPr>
          <w:trHeight w:val="567"/>
        </w:trPr>
        <w:tc>
          <w:tcPr>
            <w:tcW w:type="dxa" w:w="3000"/>
          </w:tcPr>
          <w:p>
            <w:r>
              <w:t>Numéro d'Identification</w:t>
            </w:r>
          </w:p>
        </w:tc>
        <w:tc>
          <w:tcPr>
            <w:tcW w:type="dxa" w:w="7000"/>
          </w:tcPr>
          <w:p>
            <w:r>
              <w:t>2222016622</w:t>
            </w:r>
          </w:p>
        </w:tc>
      </w:tr>
      <w:tr>
        <w:trPr>
          <w:trHeight w:val="567"/>
        </w:trPr>
        <w:tc>
          <w:tcPr>
            <w:tcW w:type="dxa" w:w="3000"/>
          </w:tcPr>
          <w:p>
            <w:r>
              <w:t>Thème</w:t>
            </w:r>
          </w:p>
        </w:tc>
        <w:tc>
          <w:tcPr>
            <w:tcW w:type="dxa" w:w="7000"/>
          </w:tcPr>
          <w:p>
            <w:r>
              <w:t>Pétrologie (lithologie, ouvrages généraux sur les roches, pétrographie, pétrologie de la pierre de construction et pouvant être sculptée)</w:t>
            </w:r>
          </w:p>
        </w:tc>
      </w:tr>
      <w:tr>
        <w:trPr>
          <w:trHeight w:val="567"/>
        </w:trPr>
        <w:tc>
          <w:tcPr>
            <w:tcW w:type="dxa" w:w="3000"/>
          </w:tcPr>
          <w:p>
            <w:r>
              <w:t>Classification(s)</w:t>
            </w:r>
          </w:p>
        </w:tc>
        <w:tc>
          <w:tcPr>
            <w:tcW w:type="dxa" w:w="7000"/>
          </w:tcPr>
          <w:p>
            <w:r>
              <w:t xml:space="preserve">552/ </w:t>
            </w:r>
          </w:p>
        </w:tc>
      </w:tr>
      <w:tr>
        <w:trPr>
          <w:trHeight w:val="567"/>
        </w:trPr>
        <w:tc>
          <w:tcPr>
            <w:tcW w:type="dxa" w:w="3000"/>
          </w:tcPr>
          <w:p>
            <w:r>
              <w:t>Sujet(s)</w:t>
            </w:r>
          </w:p>
        </w:tc>
        <w:tc>
          <w:tcPr>
            <w:tcW w:type="dxa" w:w="7000"/>
          </w:tcPr>
          <w:p>
            <w:r>
              <w:t xml:space="preserve">paléotempérature/ exploration pétrolière/ </w:t>
            </w:r>
          </w:p>
        </w:tc>
      </w:tr>
    </w:tbl>
    <w:p>
      <w:pPr>
        <w:pStyle w:val="Heading3"/>
      </w:pPr>
      <w:r>
        <w:t>Résumé :</w:t>
      </w:r>
    </w:p>
    <w:p>
      <w:r>
        <w:t>Cet ouvrage constitue une ressource essentielle pour les géologues, les ingénieurs pétroliers et les chercheurs s’intéressant aux relations entre la matière organique des sédiments, les conditions paléoclimatiques et le potentiel pétrolier. Il offre des perspectives sur l’importance de la compréhension de la matière organique dans le contexte de l’exploration des hydrocarbures.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