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croquis de géographie régionale et économique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Brunet, Roger/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Société d'édition d'enseignement supérieur/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247-249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Pétrologie (lithologie, ouvrages généraux sur les roches, pétrographie, pétrologie de la pierre de construction et pouvant être sculptée)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552/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environnement et durabilité/ industrialisation/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constitue un outil précieux pour ceux qui souhaitent comprendre les enjeux géographiques et économiques à l’échelle régionale, en mettant l’accent sur l’analyse cartographique et les dynamiques en jeu.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