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soutènement des galeries minières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Fine, Jacques/ Tincelin, Édouard/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l'école des mines/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terre et de l'environnement(N°:None)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2911762118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 d'extraction/ boisage/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rassemble les connaissances nécessaires pour définir le schéma de soutènement d'une galerie minière.</w:t>
        <w:br/>
        <w:br/>
        <w:br/>
        <w:br/>
        <w:t>La première partie du livre traite du massif rocheux : les propriétés de la matrice rocheuse, sa fissuration, les classifications empiriques et les méthodes théoriques de calcul.</w:t>
        <w:br/>
        <w:br/>
        <w:t>La seconde partie est consacrée à la technologie des différents types de soutènement minier : boisage, cintres, boulonnage ou béton projeté.</w:t>
        <w:br/>
        <w:br/>
        <w:t>La troisième partie propose des méthodologies de calcul basées sur l'analyse prévisionnelle du processus de rupture potentielle et distingue deux types de terrains : les massifs stratifiés et les massifs non stratifiés.</w:t>
        <w:br/>
        <w:br/>
        <w:br/>
        <w:br/>
        <w:t>Ce livre s'adresse non seulement aux exploitants confrontés à un choix et à un dimensionnement du soutènement mais aussi aux étudiants désirant s'initier aux techniques minières, aux chercheurs voulant améliorer leurs connaissances en mécanique des terrains et à toute personne s'intéressant à la stabilité des vides souterrains, en particulier aux tunnels de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