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Paléomagnétisme et magnétisme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Westphal, Michel/ Helga, Pfaff/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131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119-127. Index p.p. 129-131</w:t>
            </w:r>
          </w:p>
        </w:tc>
      </w:tr>
      <w:tr>
        <w:trPr>
          <w:trHeight w:val="567"/>
        </w:trPr>
        <w:tc>
          <w:tcPr>
            <w:tcW w:type="dxa" w:w="3000"/>
          </w:tcPr>
          <w:p>
            <w:r>
              <w:t>Numéro d'Identification</w:t>
            </w:r>
          </w:p>
        </w:tc>
        <w:tc>
          <w:tcPr>
            <w:tcW w:type="dxa" w:w="7000"/>
          </w:tcPr>
          <w:p>
            <w:r>
              <w:t>2704005060</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analyse géologique/ reconstitution géologique/ </w:t>
            </w:r>
          </w:p>
        </w:tc>
      </w:tr>
    </w:tbl>
    <w:p>
      <w:pPr>
        <w:pStyle w:val="Heading3"/>
      </w:pPr>
      <w:r>
        <w:t>Résumé :</w:t>
      </w:r>
    </w:p>
    <w:p>
      <w:r>
        <w:t>Cet ouvrage destiné à un public scientifique, notamment aux géologues et aux chercheurs en géophysique, et fournit une base solide pour comprendre les concepts de magnétisme des roches et leur importance dans l’étude de l’histoire géologique de notre planète.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