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métamorphisme et la formation des granites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Bonin, Bernard/ Dubois, Roland/ Gohau, Gabriel/ </w:t>
            </w:r>
          </w:p>
        </w:tc>
      </w:tr>
      <w:tr>
        <w:trPr>
          <w:trHeight w:val="567"/>
        </w:trPr>
        <w:tc>
          <w:tcPr>
            <w:tcW w:type="dxa" w:w="3000"/>
          </w:tcPr>
          <w:p>
            <w:r>
              <w:t>Adresse bib.</w:t>
            </w:r>
          </w:p>
        </w:tc>
        <w:tc>
          <w:tcPr>
            <w:tcW w:type="dxa" w:w="7000"/>
          </w:tcPr>
          <w:p>
            <w:r>
              <w:t xml:space="preserve">Nathan/ </w:t>
            </w:r>
          </w:p>
        </w:tc>
      </w:tr>
      <w:tr>
        <w:trPr>
          <w:trHeight w:val="567"/>
        </w:trPr>
        <w:tc>
          <w:tcPr>
            <w:tcW w:type="dxa" w:w="3000"/>
          </w:tcPr>
          <w:p>
            <w:r>
              <w:t>Nombre de Pages</w:t>
            </w:r>
          </w:p>
        </w:tc>
        <w:tc>
          <w:tcPr>
            <w:tcW w:type="dxa" w:w="7000"/>
          </w:tcPr>
          <w:p>
            <w:r>
              <w:t>319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Fac. Sciences(N°:None)</w:t>
            </w:r>
          </w:p>
        </w:tc>
      </w:tr>
      <w:tr>
        <w:trPr>
          <w:trHeight w:val="567"/>
        </w:trPr>
        <w:tc>
          <w:tcPr>
            <w:tcW w:type="dxa" w:w="3000"/>
          </w:tcPr>
          <w:p>
            <w:r>
              <w:t>Notes Générales</w:t>
            </w:r>
          </w:p>
        </w:tc>
        <w:tc>
          <w:tcPr>
            <w:tcW w:type="dxa" w:w="7000"/>
          </w:tcPr>
          <w:p>
            <w:r>
              <w:t>Bibliogr. p.p. 291-305. Index p.p. 309-317</w:t>
            </w:r>
          </w:p>
        </w:tc>
      </w:tr>
      <w:tr>
        <w:trPr>
          <w:trHeight w:val="567"/>
        </w:trPr>
        <w:tc>
          <w:tcPr>
            <w:tcW w:type="dxa" w:w="3000"/>
          </w:tcPr>
          <w:p>
            <w:r>
              <w:t>Numéro d'Identification</w:t>
            </w:r>
          </w:p>
        </w:tc>
        <w:tc>
          <w:tcPr>
            <w:tcW w:type="dxa" w:w="7000"/>
          </w:tcPr>
          <w:p>
            <w:r>
              <w:t>2091901693</w:t>
            </w:r>
          </w:p>
        </w:tc>
      </w:tr>
      <w:tr>
        <w:trPr>
          <w:trHeight w:val="567"/>
        </w:trPr>
        <w:tc>
          <w:tcPr>
            <w:tcW w:type="dxa" w:w="3000"/>
          </w:tcPr>
          <w:p>
            <w:r>
              <w:t>Thème</w:t>
            </w:r>
          </w:p>
        </w:tc>
        <w:tc>
          <w:tcPr>
            <w:tcW w:type="dxa" w:w="7000"/>
          </w:tcPr>
          <w:p>
            <w:r>
              <w:t>Pétrologie (lithologie, ouvrages généraux sur les roches, pétrographie, pétrologie de la pierre de construction et pouvant être sculptée)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roche mère/ tectonique/ </w:t>
            </w:r>
          </w:p>
        </w:tc>
      </w:tr>
    </w:tbl>
    <w:p>
      <w:pPr>
        <w:pStyle w:val="Heading3"/>
      </w:pPr>
      <w:r>
        <w:t>Résumé :</w:t>
      </w:r>
    </w:p>
    <w:p>
      <w:r>
        <w:t>Cet ouvrage  s'adresse principalement aux étudiants en licence et maîtrise de sciences de la Vie et de la Terre, aux étudiants préparant les concours de recrutement de l'enseignement secondaire (CAPES et agrégation de sciences naturelles), ainsi qu'aux professeurs de l'enseignement secondaire. Il est également accessible aux étudiants de DEUG SNV et des classes préparatoires de la filière BCPST.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