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Desseins de villes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Gaudin,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L'Harmattan/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Villes et entreprises(N°:None)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273840975X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Urbanisme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Anthologie/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Voici réunis, sous forme d'anthologie, des textes jusqu'à présent peu accessibles, qui rendent compte des projets sur la ville dans la première moitié de ce siècle.  </w:t>
        <w:br/>
        <w:br/>
        <w:t>A peine triomphait-il, avec les Trente Glorieuses, que déjà l'urba­nisme se voit remis en cause. Sont tour à tour critiquées la production massive et standardisée des grands ensembles, la programmation rigide des circulations, la spécialisation des espaces menée à une échelle sans précédant. Au technicisme desséchant, on entend opposer des démar­ches plus concertées ou contractualisées, et surtout une intégration oubliée entre des savoirs devenus trop cloisonnés. Au fonctionnalisme dédaigneux du passé, on cherche à substituer les enseignements de la mémoire urbaine et l'échelle détaillée des embellissements. Ainsi les reproches formulés par le public et les doutes des professionnels convergent vers la question de l' « histoire » de l'aménagement des villes ; en ce sens, ils appellent un réexamen des sources, par delà les polémiques passées liées au Mouvement Moderne et les engouements actuels, souvent moins novateurs qu'il n'y paraît.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