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Complément au traité de génie civil de l'école polytechnique fédérale de Lausanne, construction métallique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Hirt, Manfred A./ Nussbaumer, Alain/ Crisinel, Michel/ Lebel, Jean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 Polytechniques et Université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IX-263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2880746078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des poutres/ états limites ultimes (ELU)/ la résistance au feu/ tableaux normatifs/ </w:t>
            </w:r>
          </w:p>
        </w:tc>
      </w:tr>
    </w:tbl>
    <w:p>
      <w:pPr>
        <w:pStyle w:val="Heading3"/>
      </w:pPr>
      <w:r>
        <w:t>Résumé :</w:t>
      </w:r>
    </w:p>
    <w:p>
      <w:r>
        <w:t>Ce manuel constitue une référence moderne en construction métallique, intégrant les principes de dimensionnement selon les nouvelles normes européennes (Eurocodes). Il combine :</w:t>
        <w:br/>
        <w:br/>
        <w:br/>
        <w:br/>
        <w:t>bases théoriques de la résistance des structures en acier,</w:t>
        <w:br/>
        <w:br/>
        <w:br/>
        <w:br/>
        <w:t>méthodes de calcul réglementaires,</w:t>
        <w:br/>
        <w:br/>
        <w:br/>
        <w:br/>
        <w:t>exemples numériques détaillés.</w:t>
        <w:br/>
        <w:br/>
        <w:t>L’objectif est de fournir aux étudiants et ingénieurs un outil pratique pour le dimensionnement des structures en acier.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