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Urbaine appliquée.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Nonclercq/ </w:t>
            </w:r>
          </w:p>
        </w:tc>
      </w:tr>
      <w:tr>
        <w:trPr>
          <w:trHeight w:val="567"/>
        </w:trPr>
        <w:tc>
          <w:tcPr>
            <w:tcW w:type="dxa" w:w="3000"/>
          </w:tcPr>
          <w:p>
            <w:r>
              <w:t>Adresse bib.</w:t>
            </w:r>
          </w:p>
        </w:tc>
        <w:tc>
          <w:tcPr>
            <w:tcW w:type="dxa" w:w="7000"/>
          </w:tcPr>
          <w:p>
            <w:r>
              <w:t xml:space="preserve">CEBEDOC/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2870800029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urbaine/ collecteurs d'eaux pluviable/ </w:t>
            </w:r>
          </w:p>
        </w:tc>
      </w:tr>
    </w:tbl>
    <w:p>
      <w:pPr>
        <w:pStyle w:val="Heading3"/>
      </w:pPr>
      <w:r>
        <w:t>Résumé :</w:t>
      </w:r>
    </w:p>
    <w:p>
      <w:r>
        <w:t>Ce tome 2 est un manuel de calcul et de conception centré sur le dimensionnement des réseaux d’assainissement et d’alimentation en eau potable. Il constitue un ouvrage fondamental pour comprendre les méthodes traditionnelles de conception hydraulique urbaine, encore à la base de nombreuses pratiques actuelles.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