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construction, réhabilitation parasismique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Davidovici, Victor/ </w:t>
            </w:r>
          </w:p>
        </w:tc>
      </w:tr>
      <w:tr>
        <w:trPr>
          <w:trHeight w:val="567"/>
        </w:trPr>
        <w:tc>
          <w:tcPr>
            <w:tcW w:type="dxa" w:w="3000"/>
          </w:tcPr>
          <w:p>
            <w:r>
              <w:t>Adresse bib.</w:t>
            </w:r>
          </w:p>
        </w:tc>
        <w:tc>
          <w:tcPr>
            <w:tcW w:type="dxa" w:w="7000"/>
          </w:tcPr>
          <w:p>
            <w:r>
              <w:t xml:space="preserve">Editions Eyrolles/ AFNOR éditions/ </w:t>
            </w:r>
          </w:p>
        </w:tc>
      </w:tr>
      <w:tr>
        <w:trPr>
          <w:trHeight w:val="567"/>
        </w:trPr>
        <w:tc>
          <w:tcPr>
            <w:tcW w:type="dxa" w:w="3000"/>
          </w:tcPr>
          <w:p>
            <w:r>
              <w:t>Nombre de Pages</w:t>
            </w:r>
          </w:p>
        </w:tc>
        <w:tc>
          <w:tcPr>
            <w:tcW w:type="dxa" w:w="7000"/>
          </w:tcPr>
          <w:p>
            <w:r>
              <w:t>1820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Eurocodes(N°:None)</w:t>
            </w:r>
          </w:p>
        </w:tc>
      </w:tr>
      <w:tr>
        <w:trPr>
          <w:trHeight w:val="567"/>
        </w:trPr>
        <w:tc>
          <w:tcPr>
            <w:tcW w:type="dxa" w:w="3000"/>
          </w:tcPr>
          <w:p>
            <w:r>
              <w:t>Notes Générales</w:t>
            </w:r>
          </w:p>
        </w:tc>
        <w:tc>
          <w:tcPr>
            <w:tcW w:type="dxa" w:w="7000"/>
          </w:tcPr>
          <w:p>
            <w:r>
              <w:t>Bibliogr. p.p. 1787-1813 Index</w:t>
            </w:r>
          </w:p>
        </w:tc>
      </w:tr>
      <w:tr>
        <w:trPr>
          <w:trHeight w:val="567"/>
        </w:trPr>
        <w:tc>
          <w:tcPr>
            <w:tcW w:type="dxa" w:w="3000"/>
          </w:tcPr>
          <w:p>
            <w:r>
              <w:t>Numéro d'Identification</w:t>
            </w:r>
          </w:p>
        </w:tc>
        <w:tc>
          <w:tcPr>
            <w:tcW w:type="dxa" w:w="7000"/>
          </w:tcPr>
          <w:p>
            <w:r>
              <w:t>9782416000089</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génie Parasismique/ maçonnerie chaînée/ murs de soutènement/ </w:t>
            </w:r>
          </w:p>
        </w:tc>
      </w:tr>
    </w:tbl>
    <w:p>
      <w:pPr>
        <w:pStyle w:val="Heading3"/>
      </w:pPr>
      <w:r>
        <w:t>Résumé :</w:t>
      </w:r>
    </w:p>
    <w:p>
      <w:r>
        <w:t>À ce titre, elle exige de ceux qui l’exercent une remise en cause incessante des acquis. On admettra dès lors que chaque séisme majeur enrichit nos connaissances : il nous permet de progresser et de développer une construction parasismique constamment mieux adaptée, à la fois plus sûre et plus économique.</w:t>
        <w:br/>
        <w:br/>
        <w:t>On sera ainsi conduit à s’intéresser au site comme aux fondations, à la forme architecturale autant qu’à la structure porteuse mais aussi aux éléments non structuraux, aux façades et aux équipements, tout particulièrement dans les secteurs hospitalier et industriel. Dans ces domaines techniques, on sait combien les choix auront une incidence sur le comportement global du bâtiment lors d’un séisme.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