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la conception parasismique des bâtiments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du génie civil/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2212113471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parasismique/ génie Parasismique/ </w:t>
            </w:r>
          </w:p>
        </w:tc>
      </w:tr>
    </w:tbl>
    <w:p>
      <w:pPr>
        <w:pStyle w:val="Heading3"/>
      </w:pPr>
      <w:r>
        <w:t>Résumé :</w:t>
      </w:r>
    </w:p>
    <w:p>
      <w:r>
        <w:t>L'actualité montre régulièrement que les tremblements de terre entraînent des pertes en vies humaines, la destruction du patrimoine immobilier et des moyens de production, affectant notablement l'activité économique de la région touchée.</w:t>
        <w:br/>
        <w:br/>
        <w:br/>
        <w:br/>
        <w:t>Ces effets sont dus principalement à l'effondrement des constructions. Il est donc essentiel de prévenir les dommages sismiques graves en construisant des ouvrages capables de résister aux séismes.</w:t>
        <w:br/>
        <w:br/>
        <w:br/>
        <w:br/>
        <w:t>La protection parasismique des bâtiments n'est pas uniquement une affaire de calcul ou d'études d'ingénierie. Les choix opérés par l'architecte en amont de l'application des règles parasismiques influent d'une manière déterminante sur le comportement de l'ouvrage lors d'un tremblement de terre. En outre, les dispositions parasismiques n'entraînent qu'un surcoût modique pour les constructions courantes lorsqu'elles sont envisagées dès la conception.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