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Géographie de l'aménagement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Merlin, Pierre/ </w:t>
            </w:r>
          </w:p>
        </w:tc>
      </w:tr>
      <w:tr>
        <w:trPr>
          <w:trHeight w:val="567"/>
        </w:trPr>
        <w:tc>
          <w:tcPr>
            <w:tcW w:type="dxa" w:w="3000"/>
          </w:tcPr>
          <w:p>
            <w:r>
              <w:t>Adresse bib.</w:t>
            </w:r>
          </w:p>
        </w:tc>
        <w:tc>
          <w:tcPr>
            <w:tcW w:type="dxa" w:w="7000"/>
          </w:tcPr>
          <w:p>
            <w:r>
              <w:t xml:space="preserve">Presses universitaires de France/ </w:t>
            </w:r>
          </w:p>
        </w:tc>
      </w:tr>
      <w:tr>
        <w:trPr>
          <w:trHeight w:val="567"/>
        </w:trPr>
        <w:tc>
          <w:tcPr>
            <w:tcW w:type="dxa" w:w="3000"/>
          </w:tcPr>
          <w:p>
            <w:r>
              <w:t>Nombre de Pages</w:t>
            </w:r>
          </w:p>
        </w:tc>
        <w:tc>
          <w:tcPr>
            <w:tcW w:type="dxa" w:w="7000"/>
          </w:tcPr>
          <w:p>
            <w:r>
              <w:t>334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Voix nouvelles en psychanalyse(N°:None)</w:t>
            </w:r>
          </w:p>
        </w:tc>
      </w:tr>
      <w:tr>
        <w:trPr>
          <w:trHeight w:val="567"/>
        </w:trPr>
        <w:tc>
          <w:tcPr>
            <w:tcW w:type="dxa" w:w="3000"/>
          </w:tcPr>
          <w:p>
            <w:r>
              <w:t>Notes Générales</w:t>
            </w:r>
          </w:p>
        </w:tc>
        <w:tc>
          <w:tcPr>
            <w:tcW w:type="dxa" w:w="7000"/>
          </w:tcPr>
          <w:p>
            <w:r>
              <w:t>Bibliogr. p.p. 327-332</w:t>
            </w:r>
          </w:p>
        </w:tc>
      </w:tr>
      <w:tr>
        <w:trPr>
          <w:trHeight w:val="567"/>
        </w:trPr>
        <w:tc>
          <w:tcPr>
            <w:tcW w:type="dxa" w:w="3000"/>
          </w:tcPr>
          <w:p>
            <w:r>
              <w:t>Numéro d'Identification</w:t>
            </w:r>
          </w:p>
        </w:tc>
        <w:tc>
          <w:tcPr>
            <w:tcW w:type="dxa" w:w="7000"/>
          </w:tcPr>
          <w:p>
            <w:r>
              <w:t>9782130455301</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psychanalyse &amp; Art/ Épistolaire (Correspondance avec Théo)/ </w:t>
            </w:r>
          </w:p>
        </w:tc>
      </w:tr>
    </w:tbl>
    <w:p>
      <w:pPr>
        <w:pStyle w:val="Heading3"/>
      </w:pPr>
      <w:r>
        <w:t>Résumé :</w:t>
      </w:r>
    </w:p>
    <w:p>
      <w:r>
        <w:t>L'ouvrage de Jean-Louis Bonnat analyse l'acte créateur de Vincent van Gogh sous l'angle de la psychanalyse lacanienne. L'auteur soutient que l'écriture n'était pas un simple complément à la peinture, mais une nécessité vitale.</w:t>
        <w:br/>
        <w:br/>
        <w:br/>
        <w:br/>
        <w:t>Pour Van Gogh, écrire et peindre constituent une seule et même "écriture de l'œuvre". Bonnat explore comment Vincent a tenté de traiter son tourment intérieur par le langage et la couleur. Le livre décortique la fonction du "nom" (le prénom "Vincent" qu'il signait sans nom de famille) et la manière dont sa correspondance a servi de suppléance pour éviter l'effondrement psychique le plus longtemps possible. C'est une étude sur la manière dont l'art peut servir de "point d'attache" au réel.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