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 la rupture fragile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BUI, H.D/ Germain,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2225483124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Amorçage de fissures/ critère de rupture/ </w:t>
            </w:r>
          </w:p>
        </w:tc>
      </w:tr>
    </w:tbl>
    <w:p>
      <w:pPr>
        <w:pStyle w:val="Heading3"/>
      </w:pPr>
      <w:r>
        <w:t>Résumé :</w:t>
      </w:r>
    </w:p>
    <w:p>
      <w:r>
        <w:t>. L’ouvrage présente d’abord les bases théoriques de la</w:t>
        <w:br/>
        <w:br/>
        <w:t>rupture, notamment la théorie énergétique de Griffith, qui relie la propagation d’une fissure à</w:t>
        <w:br/>
        <w:br/>
        <w:t>l’équilibre entre l’énergie élastique libérée et l’énergie nécessaire pour créer de nouvelles surfaces.</w:t>
        <w:br/>
        <w:br/>
        <w:t>Cette approche constitue le fondement de la mécanique linéaire élastique de la rupture. Le livre</w:t>
        <w:br/>
        <w:br/>
        <w:t>développe ensuite la notion essentielle de facteur d’intensité de contrainte (K), paramètre</w:t>
        <w:br/>
        <w:br/>
        <w:t>caractérisant l’état de contrainte au voisinage du fond de fissure selon trois modes de fissuration.</w:t>
        <w:br/>
        <w:br/>
        <w:t>La ténacité à la rupture (KIC) est introduite comme propriété intrinsèque des matériaux permettant</w:t>
        <w:br/>
        <w:br/>
        <w:t>d’évaluer leur résistance à la propagation brutale des fissures. Une attention particulière est portée</w:t>
        <w:br/>
        <w:br/>
        <w:t>au champ de contraintes près de la fissure, à la singularité des contraintes et à la formation</w:t>
        <w:br/>
        <w:br/>
        <w:t>éventuelle d’une zone plastique locale. Les critères de propagation, les conditions d’instabilité et</w:t>
        <w:br/>
        <w:br/>
        <w:t>l’influence de la microstructure sont également analysés. L’ouvrage aborde aussi les méthodes</w:t>
        <w:br/>
        <w:br/>
        <w:t>expérimentales de mesure de la ténacité, les essais normalisés, ainsi que les techniques</w:t>
        <w:br/>
        <w:br/>
        <w:t>d’observation des fissures. Enfin, il présente de nombreuses applications industrielles (structures</w:t>
        <w:br/>
        <w:br/>
        <w:t>soudées, aéronautique, génie civil) et les stratégies de prévention : contrôle non destructif, choix</w:t>
        <w:br/>
        <w:br/>
        <w:t>des matériaux et dimensionnement tolérant aux dommages. Ce livre constitue ainsi une référence</w:t>
        <w:br/>
        <w:br/>
        <w:t>pour comprendre, prévoir et prévenir les ruptures fragiles dans les structures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