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eaux souterraines dans le bassin 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Margat,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Documents du BRGM : eau-aménagement-environnement(N°:282)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83-99.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2715908768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souterraines/ aspect économique/ Méditerranée (région)/ </w:t>
            </w:r>
          </w:p>
        </w:tc>
      </w:tr>
    </w:tbl>
    <w:p>
      <w:pPr>
        <w:pStyle w:val="Heading3"/>
      </w:pPr>
      <w:r>
        <w:t>Résumé :</w:t>
      </w:r>
    </w:p>
    <w:p>
      <w:r>
        <w:t>C’est une analyse complète et synthétique des eaux souterraines du bassin méditerranéen, couvrant leur :</w:t>
        <w:br/>
        <w:br/>
        <w:t>quantité, répartition et diversité géologique,</w:t>
        <w:br/>
        <w:br/>
        <w:t>rôle crucial dans les approvisionnements en eau,</w:t>
        <w:br/>
        <w:br/>
        <w:t>principaux usages socio-économiques,</w:t>
        <w:br/>
        <w:br/>
        <w:t>contraintes de surexploitation et défis environnementaux,</w:t>
        <w:br/>
        <w:br/>
        <w:t>besoin de gestion durable face aux pressions humaines et climatiques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