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l'aménagement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Merlin, Pierre/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Espace et liberté(N°:None)</w:t>
            </w:r>
          </w:p>
        </w:tc>
      </w:tr>
      <w:tr>
        <w:trPr>
          <w:trHeight w:val="567"/>
        </w:trPr>
        <w:tc>
          <w:tcPr>
            <w:tcW w:type="dxa" w:w="3000"/>
          </w:tcPr>
          <w:p>
            <w:r>
              <w:t>Notes Générales</w:t>
            </w:r>
          </w:p>
        </w:tc>
        <w:tc>
          <w:tcPr>
            <w:tcW w:type="dxa" w:w="7000"/>
          </w:tcPr>
          <w:p>
            <w:r>
              <w:t>Bibliogr. p.p. 327-334.</w:t>
            </w:r>
          </w:p>
        </w:tc>
      </w:tr>
      <w:tr>
        <w:trPr>
          <w:trHeight w:val="567"/>
        </w:trPr>
        <w:tc>
          <w:tcPr>
            <w:tcW w:type="dxa" w:w="3000"/>
          </w:tcPr>
          <w:p>
            <w:r>
              <w:t>Numéro d'Identification</w:t>
            </w:r>
          </w:p>
        </w:tc>
        <w:tc>
          <w:tcPr>
            <w:tcW w:type="dxa" w:w="7000"/>
          </w:tcPr>
          <w:p>
            <w:r>
              <w:t>9782130455530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décentralisation/ périurbanisation/ </w:t>
            </w:r>
          </w:p>
        </w:tc>
      </w:tr>
    </w:tbl>
    <w:p>
      <w:pPr>
        <w:pStyle w:val="Heading3"/>
      </w:pPr>
      <w:r>
        <w:t>Résumé :</w:t>
      </w:r>
    </w:p>
    <w:p>
      <w:r>
        <w:t>L'ouvrage explore comment les acteurs (État, collectivités, entreprises, citoyens) interviennent sur un territoire pour corriger les déséquilibres et organiser la croissance. Il ne s'agit plus seulement de "construire des routes", mais de penser le développement durable, la cohésion sociale et la compétitivité des territoires.</w:t>
        <w:br/>
        <w:br/>
        <w:br/>
        <w:br/>
        <w:t>Le livre analyse le passage d'un aménagement "descendant" (dirigé par l'État central) à un aménagement "partenarial" où l'Europe et les régions jouent un rôle moteur. Il traite des défis contemporains : la métropolisation, la désertification rurale, la transition écologique et la gestion des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