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et 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Pilz/ </w:t>
            </w:r>
          </w:p>
        </w:tc>
      </w:tr>
      <w:tr>
        <w:trPr>
          <w:trHeight w:val="567"/>
        </w:trPr>
        <w:tc>
          <w:tcPr>
            <w:tcW w:type="dxa" w:w="3000"/>
          </w:tcPr>
          <w:p>
            <w:r>
              <w:t>Adresse bib.</w:t>
            </w:r>
          </w:p>
        </w:tc>
        <w:tc>
          <w:tcPr>
            <w:tcW w:type="dxa" w:w="7000"/>
          </w:tcPr>
          <w:p>
            <w:r>
              <w:t xml:space="preserve">Dunod/ L'usine nouvelle/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Numéro d'Identification</w:t>
            </w:r>
          </w:p>
        </w:tc>
        <w:tc>
          <w:tcPr>
            <w:tcW w:type="dxa" w:w="7000"/>
          </w:tcPr>
          <w:p>
            <w:r>
              <w:t>2100494627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analyse de risque/ conformité réglementaire/ </w:t>
            </w:r>
          </w:p>
        </w:tc>
      </w:tr>
    </w:tbl>
    <w:p>
      <w:pPr>
        <w:pStyle w:val="Heading3"/>
      </w:pPr>
      <w:r>
        <w:t>Résumé :</w:t>
      </w:r>
    </w:p>
    <w:p>
      <w:r>
        <w:t>Cet ouvrage Destiné aux concepteurs et aux utilisateurs de machines et automates de sécurité, cet ouvrage fait le point sur les différentes normes et directives européennes en vigueur dans le domaine de la sécurité des machines ; les solutions méthodologiques (analyse et réduction des risques) et techniques (utilisation d'automatismes de sécurité, blocs logiques...), à mettre en œuvre pour garantir un niveau de sécurité satisfaisant. Outre ses aspects normatifs et théoriques, l'ouvrage présente également de nombreux cas pratiques d'analyse et de contrôle du risque machine, permettant ainsi au lecteur de faire face à n'importe quelle situation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